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7C91" w14:textId="77777777" w:rsidR="00E736B4" w:rsidRDefault="00E736B4">
      <w:pPr>
        <w:jc w:val="center"/>
        <w:rPr>
          <w:b/>
          <w:color w:val="538135"/>
          <w:sz w:val="24"/>
          <w:szCs w:val="24"/>
        </w:rPr>
      </w:pPr>
    </w:p>
    <w:p w14:paraId="03C49D87" w14:textId="77777777" w:rsidR="00E736B4" w:rsidRDefault="00E736B4">
      <w:pPr>
        <w:jc w:val="center"/>
        <w:rPr>
          <w:b/>
          <w:color w:val="538135"/>
          <w:sz w:val="24"/>
          <w:szCs w:val="24"/>
        </w:rPr>
      </w:pPr>
    </w:p>
    <w:p w14:paraId="2E09D23F" w14:textId="49DB792D" w:rsidR="000D0400" w:rsidRDefault="000D0400">
      <w:pPr>
        <w:jc w:val="center"/>
        <w:rPr>
          <w:b/>
          <w:color w:val="538135"/>
          <w:sz w:val="24"/>
          <w:szCs w:val="24"/>
        </w:rPr>
      </w:pPr>
      <w:r>
        <w:rPr>
          <w:b/>
          <w:color w:val="538135"/>
          <w:sz w:val="24"/>
          <w:szCs w:val="24"/>
        </w:rPr>
        <w:t>REPONSE A L’ENQUETE PUBLIQUE DE L’ANSM</w:t>
      </w:r>
    </w:p>
    <w:p w14:paraId="49D39147" w14:textId="77777777" w:rsidR="000D0400" w:rsidRDefault="000D0400">
      <w:pPr>
        <w:jc w:val="center"/>
        <w:rPr>
          <w:b/>
          <w:color w:val="538135"/>
          <w:sz w:val="24"/>
          <w:szCs w:val="24"/>
        </w:rPr>
      </w:pPr>
      <w:r>
        <w:rPr>
          <w:b/>
          <w:color w:val="538135"/>
          <w:sz w:val="24"/>
          <w:szCs w:val="24"/>
        </w:rPr>
        <w:t>PREPARATIONS OFFICINALES A BASE D’HUILES ESSENTIELLES</w:t>
      </w:r>
    </w:p>
    <w:p w14:paraId="54793B31" w14:textId="77777777" w:rsidR="00093347" w:rsidRDefault="000D0400">
      <w:pPr>
        <w:jc w:val="center"/>
        <w:rPr>
          <w:b/>
          <w:color w:val="538135"/>
          <w:sz w:val="24"/>
          <w:szCs w:val="24"/>
        </w:rPr>
      </w:pPr>
      <w:r>
        <w:rPr>
          <w:b/>
          <w:color w:val="538135"/>
          <w:sz w:val="24"/>
          <w:szCs w:val="24"/>
        </w:rPr>
        <w:t>MONOGRAPHIES N°1281,1282 ,1283</w:t>
      </w:r>
    </w:p>
    <w:p w14:paraId="49E09DF1" w14:textId="77777777" w:rsidR="00093347" w:rsidRDefault="000022DE">
      <w:r>
        <w:rPr>
          <w:noProof/>
        </w:rPr>
        <mc:AlternateContent>
          <mc:Choice Requires="wpg">
            <w:drawing>
              <wp:anchor distT="0" distB="0" distL="114300" distR="114300" simplePos="0" relativeHeight="251658240" behindDoc="0" locked="0" layoutInCell="1" hidden="0" allowOverlap="1" wp14:anchorId="3FED536A" wp14:editId="0EA5E73F">
                <wp:simplePos x="0" y="0"/>
                <wp:positionH relativeFrom="column">
                  <wp:posOffset>139700</wp:posOffset>
                </wp:positionH>
                <wp:positionV relativeFrom="paragraph">
                  <wp:posOffset>139700</wp:posOffset>
                </wp:positionV>
                <wp:extent cx="5353050" cy="38100"/>
                <wp:effectExtent l="0" t="0" r="0" b="0"/>
                <wp:wrapNone/>
                <wp:docPr id="3" name=""/>
                <wp:cNvGraphicFramePr/>
                <a:graphic xmlns:a="http://schemas.openxmlformats.org/drawingml/2006/main">
                  <a:graphicData uri="http://schemas.microsoft.com/office/word/2010/wordprocessingShape">
                    <wps:wsp>
                      <wps:cNvCnPr/>
                      <wps:spPr>
                        <a:xfrm>
                          <a:off x="2679000" y="3770475"/>
                          <a:ext cx="5334000" cy="19050"/>
                        </a:xfrm>
                        <a:prstGeom prst="straightConnector1">
                          <a:avLst/>
                        </a:prstGeom>
                        <a:noFill/>
                        <a:ln w="9525" cap="flat" cmpd="sng">
                          <a:solidFill>
                            <a:schemeClr val="accent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139700</wp:posOffset>
                </wp:positionH>
                <wp:positionV relativeFrom="paragraph">
                  <wp:posOffset>139700</wp:posOffset>
                </wp:positionV>
                <wp:extent cx="5353050" cy="38100"/>
                <wp:effectExtent b="0" l="0" r="0" t="0"/>
                <wp:wrapNone/>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353050" cy="38100"/>
                        </a:xfrm>
                        <a:prstGeom prst="rect"/>
                        <a:ln/>
                      </pic:spPr>
                    </pic:pic>
                  </a:graphicData>
                </a:graphic>
              </wp:anchor>
            </w:drawing>
          </mc:Fallback>
        </mc:AlternateContent>
      </w:r>
    </w:p>
    <w:p w14:paraId="351DFAAC" w14:textId="597C0E05" w:rsidR="00E736B4" w:rsidRPr="00297C93" w:rsidRDefault="00E736B4" w:rsidP="00E736B4">
      <w:pPr>
        <w:jc w:val="center"/>
        <w:rPr>
          <w:rFonts w:asciiTheme="minorHAnsi" w:hAnsiTheme="minorHAnsi" w:cstheme="minorHAnsi"/>
          <w:sz w:val="24"/>
          <w:szCs w:val="24"/>
        </w:rPr>
      </w:pPr>
      <w:r w:rsidRPr="00297C93">
        <w:rPr>
          <w:rFonts w:asciiTheme="minorHAnsi" w:hAnsiTheme="minorHAnsi" w:cstheme="minorHAnsi"/>
          <w:sz w:val="24"/>
          <w:szCs w:val="24"/>
        </w:rPr>
        <w:t>À</w:t>
      </w:r>
      <w:r w:rsidRPr="00297C93">
        <w:rPr>
          <w:rFonts w:asciiTheme="minorHAnsi" w:hAnsiTheme="minorHAnsi" w:cstheme="minorHAnsi"/>
          <w:sz w:val="24"/>
          <w:szCs w:val="24"/>
        </w:rPr>
        <w:t xml:space="preserve"> envoyer par mail : pharmacopeefrancaise@ansm.sante.fr </w:t>
      </w:r>
      <w:r w:rsidRPr="00297C93">
        <w:rPr>
          <w:rFonts w:asciiTheme="minorHAnsi" w:hAnsiTheme="minorHAnsi" w:cstheme="minorHAnsi"/>
          <w:b/>
          <w:bCs/>
          <w:sz w:val="24"/>
          <w:szCs w:val="24"/>
        </w:rPr>
        <w:t>avant le 10 avril 2022</w:t>
      </w:r>
    </w:p>
    <w:p w14:paraId="39C03577" w14:textId="77777777" w:rsidR="00E736B4" w:rsidRPr="00297C93" w:rsidRDefault="00E736B4" w:rsidP="00E736B4">
      <w:pPr>
        <w:numPr>
          <w:ilvl w:val="0"/>
          <w:numId w:val="13"/>
        </w:numPr>
        <w:spacing w:before="100" w:beforeAutospacing="1" w:after="100" w:afterAutospacing="1" w:line="240" w:lineRule="auto"/>
        <w:rPr>
          <w:rFonts w:asciiTheme="minorHAnsi" w:eastAsia="Times New Roman" w:hAnsiTheme="minorHAnsi" w:cstheme="minorHAnsi"/>
          <w:sz w:val="24"/>
          <w:szCs w:val="24"/>
        </w:rPr>
      </w:pPr>
      <w:r w:rsidRPr="00E736B4">
        <w:rPr>
          <w:rFonts w:asciiTheme="minorHAnsi" w:eastAsia="Times New Roman" w:hAnsiTheme="minorHAnsi" w:cstheme="minorHAnsi"/>
          <w:sz w:val="24"/>
          <w:szCs w:val="24"/>
        </w:rPr>
        <w:t xml:space="preserve">Entreprise </w:t>
      </w:r>
    </w:p>
    <w:p w14:paraId="512DAC0C" w14:textId="3E12332B" w:rsidR="00E736B4" w:rsidRPr="00297C93" w:rsidRDefault="00E736B4" w:rsidP="00E736B4">
      <w:pPr>
        <w:pStyle w:val="Paragraphedeliste"/>
        <w:numPr>
          <w:ilvl w:val="1"/>
          <w:numId w:val="13"/>
        </w:numPr>
        <w:spacing w:before="100" w:beforeAutospacing="1" w:after="100" w:afterAutospacing="1" w:line="240" w:lineRule="auto"/>
        <w:rPr>
          <w:rFonts w:asciiTheme="minorHAnsi" w:eastAsia="Times New Roman" w:hAnsiTheme="minorHAnsi" w:cstheme="minorHAnsi"/>
          <w:sz w:val="24"/>
          <w:szCs w:val="24"/>
        </w:rPr>
      </w:pPr>
      <w:r w:rsidRPr="00297C93">
        <w:rPr>
          <w:rFonts w:asciiTheme="minorHAnsi" w:eastAsia="Times New Roman" w:hAnsiTheme="minorHAnsi" w:cstheme="minorHAnsi"/>
          <w:sz w:val="24"/>
          <w:szCs w:val="24"/>
        </w:rPr>
        <w:t>N</w:t>
      </w:r>
      <w:r w:rsidRPr="00297C93">
        <w:rPr>
          <w:rFonts w:asciiTheme="minorHAnsi" w:eastAsia="Times New Roman" w:hAnsiTheme="minorHAnsi" w:cstheme="minorHAnsi"/>
          <w:sz w:val="24"/>
          <w:szCs w:val="24"/>
        </w:rPr>
        <w:t>om</w:t>
      </w:r>
      <w:r w:rsidR="00297C93">
        <w:rPr>
          <w:rFonts w:asciiTheme="minorHAnsi" w:eastAsia="Times New Roman" w:hAnsiTheme="minorHAnsi" w:cstheme="minorHAnsi"/>
          <w:sz w:val="24"/>
          <w:szCs w:val="24"/>
        </w:rPr>
        <w:t> :</w:t>
      </w:r>
    </w:p>
    <w:p w14:paraId="24C7943C" w14:textId="5F22A345" w:rsidR="00E736B4" w:rsidRDefault="00297C93" w:rsidP="00E736B4">
      <w:pPr>
        <w:pStyle w:val="Paragraphedeliste"/>
        <w:numPr>
          <w:ilvl w:val="1"/>
          <w:numId w:val="13"/>
        </w:numPr>
        <w:spacing w:before="100" w:beforeAutospacing="1" w:after="100" w:afterAutospacing="1" w:line="240" w:lineRule="auto"/>
        <w:rPr>
          <w:rFonts w:asciiTheme="minorHAnsi" w:eastAsia="Times New Roman" w:hAnsiTheme="minorHAnsi" w:cstheme="minorHAnsi"/>
          <w:sz w:val="24"/>
          <w:szCs w:val="24"/>
        </w:rPr>
      </w:pPr>
      <w:r w:rsidRPr="00297C93">
        <w:rPr>
          <w:rFonts w:asciiTheme="minorHAnsi" w:eastAsia="Times New Roman" w:hAnsiTheme="minorHAnsi" w:cstheme="minorHAnsi"/>
          <w:sz w:val="24"/>
          <w:szCs w:val="24"/>
        </w:rPr>
        <w:t>A</w:t>
      </w:r>
      <w:r w:rsidR="00E736B4" w:rsidRPr="00297C93">
        <w:rPr>
          <w:rFonts w:asciiTheme="minorHAnsi" w:eastAsia="Times New Roman" w:hAnsiTheme="minorHAnsi" w:cstheme="minorHAnsi"/>
          <w:sz w:val="24"/>
          <w:szCs w:val="24"/>
        </w:rPr>
        <w:t>dresse</w:t>
      </w:r>
      <w:r>
        <w:rPr>
          <w:rFonts w:asciiTheme="minorHAnsi" w:eastAsia="Times New Roman" w:hAnsiTheme="minorHAnsi" w:cstheme="minorHAnsi"/>
          <w:sz w:val="24"/>
          <w:szCs w:val="24"/>
        </w:rPr>
        <w:t> :</w:t>
      </w:r>
    </w:p>
    <w:p w14:paraId="4EDE7F6F" w14:textId="77777777" w:rsidR="006B7742" w:rsidRPr="00297C93" w:rsidRDefault="006B7742" w:rsidP="006B7742">
      <w:pPr>
        <w:pStyle w:val="Paragraphedeliste"/>
        <w:spacing w:before="100" w:beforeAutospacing="1" w:after="100" w:afterAutospacing="1" w:line="240" w:lineRule="auto"/>
        <w:ind w:left="1440"/>
        <w:rPr>
          <w:rFonts w:asciiTheme="minorHAnsi" w:eastAsia="Times New Roman" w:hAnsiTheme="minorHAnsi" w:cstheme="minorHAnsi"/>
          <w:sz w:val="24"/>
          <w:szCs w:val="24"/>
        </w:rPr>
      </w:pPr>
    </w:p>
    <w:p w14:paraId="42E2BCB1" w14:textId="77777777" w:rsidR="00E736B4" w:rsidRPr="00297C93" w:rsidRDefault="00E736B4" w:rsidP="00E736B4">
      <w:pPr>
        <w:numPr>
          <w:ilvl w:val="0"/>
          <w:numId w:val="13"/>
        </w:numPr>
        <w:spacing w:before="100" w:beforeAutospacing="1" w:after="100" w:afterAutospacing="1" w:line="240" w:lineRule="auto"/>
        <w:rPr>
          <w:rFonts w:asciiTheme="minorHAnsi" w:eastAsia="Times New Roman" w:hAnsiTheme="minorHAnsi" w:cstheme="minorHAnsi"/>
          <w:sz w:val="24"/>
          <w:szCs w:val="24"/>
        </w:rPr>
      </w:pPr>
      <w:r w:rsidRPr="00E736B4">
        <w:rPr>
          <w:rFonts w:asciiTheme="minorHAnsi" w:eastAsia="Times New Roman" w:hAnsiTheme="minorHAnsi" w:cstheme="minorHAnsi"/>
          <w:sz w:val="24"/>
          <w:szCs w:val="24"/>
        </w:rPr>
        <w:t xml:space="preserve">Contact </w:t>
      </w:r>
    </w:p>
    <w:p w14:paraId="7D1896C1" w14:textId="09D8BE7A" w:rsidR="00E736B4" w:rsidRPr="00297C93" w:rsidRDefault="00297C93" w:rsidP="00E736B4">
      <w:pPr>
        <w:pStyle w:val="Paragraphedeliste"/>
        <w:numPr>
          <w:ilvl w:val="1"/>
          <w:numId w:val="13"/>
        </w:numPr>
        <w:spacing w:before="100" w:beforeAutospacing="1" w:after="100" w:afterAutospacing="1" w:line="240" w:lineRule="auto"/>
        <w:rPr>
          <w:rFonts w:asciiTheme="minorHAnsi" w:eastAsia="Times New Roman" w:hAnsiTheme="minorHAnsi" w:cstheme="minorHAnsi"/>
          <w:sz w:val="24"/>
          <w:szCs w:val="24"/>
        </w:rPr>
      </w:pPr>
      <w:r w:rsidRPr="00297C93">
        <w:rPr>
          <w:rFonts w:asciiTheme="minorHAnsi" w:eastAsia="Times New Roman" w:hAnsiTheme="minorHAnsi" w:cstheme="minorHAnsi"/>
          <w:sz w:val="24"/>
          <w:szCs w:val="24"/>
        </w:rPr>
        <w:t>N</w:t>
      </w:r>
      <w:r w:rsidR="00E736B4" w:rsidRPr="00297C93">
        <w:rPr>
          <w:rFonts w:asciiTheme="minorHAnsi" w:eastAsia="Times New Roman" w:hAnsiTheme="minorHAnsi" w:cstheme="minorHAnsi"/>
          <w:sz w:val="24"/>
          <w:szCs w:val="24"/>
        </w:rPr>
        <w:t>om</w:t>
      </w:r>
      <w:r>
        <w:rPr>
          <w:rFonts w:asciiTheme="minorHAnsi" w:eastAsia="Times New Roman" w:hAnsiTheme="minorHAnsi" w:cstheme="minorHAnsi"/>
          <w:sz w:val="24"/>
          <w:szCs w:val="24"/>
        </w:rPr>
        <w:t> :</w:t>
      </w:r>
      <w:r w:rsidR="00E736B4" w:rsidRPr="00297C93">
        <w:rPr>
          <w:rFonts w:asciiTheme="minorHAnsi" w:eastAsia="Times New Roman" w:hAnsiTheme="minorHAnsi" w:cstheme="minorHAnsi"/>
          <w:sz w:val="24"/>
          <w:szCs w:val="24"/>
        </w:rPr>
        <w:t xml:space="preserve"> </w:t>
      </w:r>
    </w:p>
    <w:p w14:paraId="7D3C022A" w14:textId="239D3B77" w:rsidR="00E736B4" w:rsidRPr="00297C93" w:rsidRDefault="00297C93" w:rsidP="00E736B4">
      <w:pPr>
        <w:pStyle w:val="Paragraphedeliste"/>
        <w:numPr>
          <w:ilvl w:val="1"/>
          <w:numId w:val="13"/>
        </w:numPr>
        <w:spacing w:before="100" w:beforeAutospacing="1" w:after="100" w:afterAutospacing="1" w:line="240" w:lineRule="auto"/>
        <w:rPr>
          <w:rFonts w:asciiTheme="minorHAnsi" w:eastAsia="Times New Roman" w:hAnsiTheme="minorHAnsi" w:cstheme="minorHAnsi"/>
          <w:sz w:val="24"/>
          <w:szCs w:val="24"/>
        </w:rPr>
      </w:pPr>
      <w:r w:rsidRPr="00297C93">
        <w:rPr>
          <w:rFonts w:asciiTheme="minorHAnsi" w:eastAsia="Times New Roman" w:hAnsiTheme="minorHAnsi" w:cstheme="minorHAnsi"/>
          <w:sz w:val="24"/>
          <w:szCs w:val="24"/>
        </w:rPr>
        <w:t>P</w:t>
      </w:r>
      <w:r w:rsidR="00E736B4" w:rsidRPr="00297C93">
        <w:rPr>
          <w:rFonts w:asciiTheme="minorHAnsi" w:eastAsia="Times New Roman" w:hAnsiTheme="minorHAnsi" w:cstheme="minorHAnsi"/>
          <w:sz w:val="24"/>
          <w:szCs w:val="24"/>
        </w:rPr>
        <w:t>rénom</w:t>
      </w:r>
      <w:r>
        <w:rPr>
          <w:rFonts w:asciiTheme="minorHAnsi" w:eastAsia="Times New Roman" w:hAnsiTheme="minorHAnsi" w:cstheme="minorHAnsi"/>
          <w:sz w:val="24"/>
          <w:szCs w:val="24"/>
        </w:rPr>
        <w:t> :</w:t>
      </w:r>
      <w:r w:rsidR="00E736B4" w:rsidRPr="00297C93">
        <w:rPr>
          <w:rFonts w:asciiTheme="minorHAnsi" w:eastAsia="Times New Roman" w:hAnsiTheme="minorHAnsi" w:cstheme="minorHAnsi"/>
          <w:sz w:val="24"/>
          <w:szCs w:val="24"/>
        </w:rPr>
        <w:t xml:space="preserve"> </w:t>
      </w:r>
    </w:p>
    <w:p w14:paraId="6CF17C29" w14:textId="5B666CE6" w:rsidR="00E736B4" w:rsidRPr="00297C93" w:rsidRDefault="00297C93" w:rsidP="00E736B4">
      <w:pPr>
        <w:pStyle w:val="Paragraphedeliste"/>
        <w:numPr>
          <w:ilvl w:val="1"/>
          <w:numId w:val="13"/>
        </w:numPr>
        <w:spacing w:before="100" w:beforeAutospacing="1" w:after="100" w:afterAutospacing="1" w:line="240" w:lineRule="auto"/>
        <w:rPr>
          <w:rFonts w:asciiTheme="minorHAnsi" w:eastAsia="Times New Roman" w:hAnsiTheme="minorHAnsi" w:cstheme="minorHAnsi"/>
          <w:sz w:val="24"/>
          <w:szCs w:val="24"/>
        </w:rPr>
      </w:pPr>
      <w:r w:rsidRPr="00297C93">
        <w:rPr>
          <w:rFonts w:asciiTheme="minorHAnsi" w:eastAsia="Times New Roman" w:hAnsiTheme="minorHAnsi" w:cstheme="minorHAnsi"/>
          <w:sz w:val="24"/>
          <w:szCs w:val="24"/>
        </w:rPr>
        <w:t>F</w:t>
      </w:r>
      <w:r w:rsidR="00E736B4" w:rsidRPr="00297C93">
        <w:rPr>
          <w:rFonts w:asciiTheme="minorHAnsi" w:eastAsia="Times New Roman" w:hAnsiTheme="minorHAnsi" w:cstheme="minorHAnsi"/>
          <w:sz w:val="24"/>
          <w:szCs w:val="24"/>
        </w:rPr>
        <w:t>onction</w:t>
      </w:r>
      <w:r>
        <w:rPr>
          <w:rFonts w:asciiTheme="minorHAnsi" w:eastAsia="Times New Roman" w:hAnsiTheme="minorHAnsi" w:cstheme="minorHAnsi"/>
          <w:sz w:val="24"/>
          <w:szCs w:val="24"/>
        </w:rPr>
        <w:t> :</w:t>
      </w:r>
    </w:p>
    <w:p w14:paraId="1EF71158" w14:textId="41B3CDF0" w:rsidR="00E736B4" w:rsidRPr="00297C93" w:rsidRDefault="00297C93" w:rsidP="00E736B4">
      <w:pPr>
        <w:pStyle w:val="Paragraphedeliste"/>
        <w:numPr>
          <w:ilvl w:val="1"/>
          <w:numId w:val="13"/>
        </w:numPr>
        <w:spacing w:before="100" w:beforeAutospacing="1" w:after="100" w:afterAutospacing="1" w:line="240" w:lineRule="auto"/>
        <w:rPr>
          <w:rFonts w:asciiTheme="minorHAnsi" w:eastAsia="Times New Roman" w:hAnsiTheme="minorHAnsi" w:cstheme="minorHAnsi"/>
          <w:sz w:val="24"/>
          <w:szCs w:val="24"/>
        </w:rPr>
      </w:pPr>
      <w:r w:rsidRPr="00297C93">
        <w:rPr>
          <w:rFonts w:asciiTheme="minorHAnsi" w:eastAsia="Times New Roman" w:hAnsiTheme="minorHAnsi" w:cstheme="minorHAnsi"/>
          <w:sz w:val="24"/>
          <w:szCs w:val="24"/>
        </w:rPr>
        <w:t>E</w:t>
      </w:r>
      <w:r w:rsidR="00E736B4" w:rsidRPr="00297C93">
        <w:rPr>
          <w:rFonts w:asciiTheme="minorHAnsi" w:eastAsia="Times New Roman" w:hAnsiTheme="minorHAnsi" w:cstheme="minorHAnsi"/>
          <w:sz w:val="24"/>
          <w:szCs w:val="24"/>
        </w:rPr>
        <w:t>mail</w:t>
      </w:r>
      <w:r>
        <w:rPr>
          <w:rFonts w:asciiTheme="minorHAnsi" w:eastAsia="Times New Roman" w:hAnsiTheme="minorHAnsi" w:cstheme="minorHAnsi"/>
          <w:sz w:val="24"/>
          <w:szCs w:val="24"/>
        </w:rPr>
        <w:t> :</w:t>
      </w:r>
    </w:p>
    <w:p w14:paraId="178E8982" w14:textId="57F304E7" w:rsidR="00E736B4" w:rsidRPr="00297C93" w:rsidRDefault="00297C93" w:rsidP="00E736B4">
      <w:pPr>
        <w:pStyle w:val="Paragraphedeliste"/>
        <w:numPr>
          <w:ilvl w:val="1"/>
          <w:numId w:val="13"/>
        </w:numPr>
        <w:spacing w:before="100" w:beforeAutospacing="1" w:after="100" w:afterAutospacing="1" w:line="240" w:lineRule="auto"/>
        <w:rPr>
          <w:rFonts w:asciiTheme="minorHAnsi" w:eastAsia="Times New Roman" w:hAnsiTheme="minorHAnsi" w:cstheme="minorHAnsi"/>
          <w:sz w:val="24"/>
          <w:szCs w:val="24"/>
        </w:rPr>
      </w:pPr>
      <w:r w:rsidRPr="00297C93">
        <w:rPr>
          <w:rFonts w:asciiTheme="minorHAnsi" w:eastAsia="Times New Roman" w:hAnsiTheme="minorHAnsi" w:cstheme="minorHAnsi"/>
          <w:sz w:val="24"/>
          <w:szCs w:val="24"/>
        </w:rPr>
        <w:t>Tél</w:t>
      </w:r>
      <w:r>
        <w:rPr>
          <w:rFonts w:asciiTheme="minorHAnsi" w:eastAsia="Times New Roman" w:hAnsiTheme="minorHAnsi" w:cstheme="minorHAnsi"/>
          <w:sz w:val="24"/>
          <w:szCs w:val="24"/>
        </w:rPr>
        <w:t>éphone :</w:t>
      </w:r>
    </w:p>
    <w:p w14:paraId="523DED2F" w14:textId="77777777" w:rsidR="00E736B4" w:rsidRPr="00E736B4" w:rsidRDefault="00E736B4" w:rsidP="00E736B4">
      <w:pPr>
        <w:numPr>
          <w:ilvl w:val="0"/>
          <w:numId w:val="13"/>
        </w:numPr>
        <w:spacing w:before="100" w:beforeAutospacing="1" w:after="100" w:afterAutospacing="1" w:line="240" w:lineRule="auto"/>
        <w:rPr>
          <w:rFonts w:asciiTheme="minorHAnsi" w:eastAsia="Times New Roman" w:hAnsiTheme="minorHAnsi" w:cstheme="minorHAnsi"/>
          <w:sz w:val="24"/>
          <w:szCs w:val="24"/>
        </w:rPr>
      </w:pPr>
      <w:r w:rsidRPr="00E736B4">
        <w:rPr>
          <w:rFonts w:asciiTheme="minorHAnsi" w:eastAsia="Times New Roman" w:hAnsiTheme="minorHAnsi" w:cstheme="minorHAnsi"/>
          <w:sz w:val="24"/>
          <w:szCs w:val="24"/>
        </w:rPr>
        <w:t>Statut (fabricant et/ou titulaire, autres – préciser) :</w:t>
      </w:r>
    </w:p>
    <w:p w14:paraId="199C7C07" w14:textId="4F6730F5" w:rsidR="00E736B4" w:rsidRPr="00297C93" w:rsidRDefault="00E736B4">
      <w:pPr>
        <w:rPr>
          <w:rFonts w:asciiTheme="minorHAnsi" w:hAnsiTheme="minorHAnsi" w:cstheme="minorHAnsi"/>
        </w:rPr>
      </w:pPr>
    </w:p>
    <w:p w14:paraId="65813780" w14:textId="77777777" w:rsidR="00093347" w:rsidRDefault="002D160C" w:rsidP="002D160C">
      <w:pPr>
        <w:jc w:val="right"/>
      </w:pPr>
      <w:r>
        <w:t>Avril 2022,</w:t>
      </w:r>
    </w:p>
    <w:p w14:paraId="293B274E" w14:textId="77777777" w:rsidR="002D160C" w:rsidRDefault="002D160C" w:rsidP="002D160C">
      <w:pPr>
        <w:jc w:val="right"/>
      </w:pPr>
    </w:p>
    <w:p w14:paraId="3B90F2B4" w14:textId="77777777" w:rsidR="00093347" w:rsidRDefault="00093347">
      <w:pPr>
        <w:jc w:val="center"/>
      </w:pPr>
    </w:p>
    <w:p w14:paraId="42BBA5A1" w14:textId="77777777" w:rsidR="00093347" w:rsidRDefault="000022DE">
      <w:pPr>
        <w:jc w:val="center"/>
        <w:rPr>
          <w:b/>
        </w:rPr>
      </w:pPr>
      <w:r>
        <w:rPr>
          <w:b/>
        </w:rPr>
        <w:t>ARGUMENTAIRE ENQUÊTE PUBLIQUE ANSM PHARMACOP</w:t>
      </w:r>
      <w:r w:rsidR="0049143F" w:rsidRPr="0049143F">
        <w:rPr>
          <w:b/>
        </w:rPr>
        <w:t>É</w:t>
      </w:r>
      <w:r>
        <w:rPr>
          <w:b/>
        </w:rPr>
        <w:t>E FRANCAISE</w:t>
      </w:r>
    </w:p>
    <w:p w14:paraId="33CDDAD8" w14:textId="77777777" w:rsidR="00093347" w:rsidRDefault="00093347"/>
    <w:p w14:paraId="7B5163A3" w14:textId="77777777" w:rsidR="00093347" w:rsidRDefault="000022DE">
      <w:pPr>
        <w:jc w:val="both"/>
      </w:pPr>
      <w:r>
        <w:t xml:space="preserve">Le SN2P et les PREF remercient vivement l’ANSM et le groupe de travail pour ces monographies qui présentent une réelle avancée pour la pharmacie d’officine. </w:t>
      </w:r>
    </w:p>
    <w:p w14:paraId="7C6855E1" w14:textId="77777777" w:rsidR="00093347" w:rsidRDefault="000022DE">
      <w:pPr>
        <w:jc w:val="both"/>
      </w:pPr>
      <w:r>
        <w:t>S’appuyant sur leur expertise dans le domaine de la préparation magistrale et partageant le cadre des BPP pour la fabrication des préparations, les pharmaciens sous-traitants en préparation magistrale soumettent au groupe de travail de l’ANSM sur la Pharmacopée française le fruit de leurs réflexions.</w:t>
      </w:r>
    </w:p>
    <w:p w14:paraId="49B387B5" w14:textId="77777777" w:rsidR="00093347" w:rsidRDefault="00093347"/>
    <w:p w14:paraId="076A050C" w14:textId="77777777" w:rsidR="00093347" w:rsidRDefault="000022DE">
      <w:pPr>
        <w:jc w:val="center"/>
        <w:rPr>
          <w:b/>
          <w:u w:val="single"/>
        </w:rPr>
      </w:pPr>
      <w:r>
        <w:rPr>
          <w:b/>
          <w:u w:val="single"/>
        </w:rPr>
        <w:t>ARGUMENTAIRE POUR LA CONSULTATION PUBLIQUE DE LA MONOGRAPHIE N° 1281 : MELANGES D’HUILES ESSENTIELLES DESTIN</w:t>
      </w:r>
      <w:r w:rsidR="00575CCA" w:rsidRPr="00575CCA">
        <w:rPr>
          <w:b/>
          <w:u w:val="single"/>
        </w:rPr>
        <w:t>É</w:t>
      </w:r>
      <w:r>
        <w:rPr>
          <w:b/>
          <w:u w:val="single"/>
        </w:rPr>
        <w:t>S A LA VOIE ORALE POUR PRÉPARATIONS OFFICINALES</w:t>
      </w:r>
    </w:p>
    <w:p w14:paraId="09504C1E" w14:textId="77777777" w:rsidR="00093347" w:rsidRDefault="00093347">
      <w:pPr>
        <w:rPr>
          <w:b/>
        </w:rPr>
      </w:pPr>
    </w:p>
    <w:p w14:paraId="6884DB8F" w14:textId="77777777" w:rsidR="00093347" w:rsidRDefault="000022DE">
      <w:pPr>
        <w:numPr>
          <w:ilvl w:val="0"/>
          <w:numId w:val="4"/>
        </w:numPr>
        <w:pBdr>
          <w:top w:val="nil"/>
          <w:left w:val="nil"/>
          <w:bottom w:val="nil"/>
          <w:right w:val="nil"/>
          <w:between w:val="nil"/>
        </w:pBdr>
        <w:jc w:val="center"/>
        <w:rPr>
          <w:b/>
          <w:color w:val="000000"/>
        </w:rPr>
      </w:pPr>
      <w:r>
        <w:rPr>
          <w:b/>
          <w:color w:val="000000"/>
        </w:rPr>
        <w:t>COMMENTAIRES DE FOND</w:t>
      </w:r>
    </w:p>
    <w:p w14:paraId="4BE7F3C9" w14:textId="77777777" w:rsidR="00093347" w:rsidRDefault="006B7742">
      <w:pPr>
        <w:numPr>
          <w:ilvl w:val="0"/>
          <w:numId w:val="5"/>
        </w:numPr>
        <w:pBdr>
          <w:top w:val="nil"/>
          <w:left w:val="nil"/>
          <w:bottom w:val="nil"/>
          <w:right w:val="nil"/>
          <w:between w:val="nil"/>
        </w:pBdr>
        <w:spacing w:after="0"/>
        <w:jc w:val="both"/>
      </w:pPr>
      <w:sdt>
        <w:sdtPr>
          <w:tag w:val="goog_rdk_0"/>
          <w:id w:val="-1003044762"/>
        </w:sdtPr>
        <w:sdtEndPr/>
        <w:sdtContent/>
      </w:sdt>
      <w:r w:rsidR="000022DE">
        <w:rPr>
          <w:color w:val="000000"/>
        </w:rPr>
        <w:t xml:space="preserve">Nous proposons de rattacher à cette monographie la voie rectale et la voie vaginale pour que cette dernière s’intitule alors ; </w:t>
      </w:r>
      <w:r w:rsidR="000022DE">
        <w:rPr>
          <w:i/>
          <w:color w:val="000000"/>
        </w:rPr>
        <w:t>mélanges d’huiles essentielles destinés à la voie interne pour préparations officinales</w:t>
      </w:r>
      <w:r w:rsidR="000022DE">
        <w:rPr>
          <w:color w:val="000000"/>
        </w:rPr>
        <w:t xml:space="preserve">. Concernant la voie orale, il nous </w:t>
      </w:r>
      <w:r w:rsidR="00D47E97">
        <w:rPr>
          <w:color w:val="000000"/>
        </w:rPr>
        <w:t xml:space="preserve">parait </w:t>
      </w:r>
      <w:r w:rsidR="000022DE">
        <w:rPr>
          <w:color w:val="000000"/>
        </w:rPr>
        <w:t xml:space="preserve">également important d’ajouter la forme galénique gélules. Une référence aux monographies de la Pharmacopée européenne pour préparation en capsules (0016), pour les préparations rectales (1145) et pour les préparations vaginales (1164) serait envisagée pour ces formes galéniques supplémentaires. </w:t>
      </w:r>
    </w:p>
    <w:p w14:paraId="1C804302" w14:textId="77777777" w:rsidR="00093347" w:rsidRDefault="000022DE">
      <w:pPr>
        <w:pBdr>
          <w:top w:val="nil"/>
          <w:left w:val="nil"/>
          <w:bottom w:val="nil"/>
          <w:right w:val="nil"/>
          <w:between w:val="nil"/>
        </w:pBdr>
        <w:ind w:left="720"/>
        <w:jc w:val="both"/>
        <w:rPr>
          <w:color w:val="000000"/>
        </w:rPr>
      </w:pPr>
      <w:r>
        <w:rPr>
          <w:color w:val="000000"/>
        </w:rPr>
        <w:t>Cet élargissement permet de s’adapter aux patients et de favoriser la bonne observance des traitements.</w:t>
      </w:r>
    </w:p>
    <w:p w14:paraId="7F976729" w14:textId="77777777" w:rsidR="00093347" w:rsidRDefault="00093347">
      <w:pPr>
        <w:rPr>
          <w:b/>
        </w:rPr>
      </w:pPr>
    </w:p>
    <w:p w14:paraId="6E5D7C03" w14:textId="77777777" w:rsidR="00093347" w:rsidRDefault="000022DE">
      <w:pPr>
        <w:rPr>
          <w:b/>
        </w:rPr>
      </w:pPr>
      <w:r>
        <w:rPr>
          <w:b/>
        </w:rPr>
        <w:t>CHAPITRE « DEFINITION »</w:t>
      </w:r>
    </w:p>
    <w:p w14:paraId="136B837E" w14:textId="77777777" w:rsidR="00093347" w:rsidRDefault="006B7742">
      <w:pPr>
        <w:numPr>
          <w:ilvl w:val="0"/>
          <w:numId w:val="6"/>
        </w:numPr>
        <w:pBdr>
          <w:top w:val="nil"/>
          <w:left w:val="nil"/>
          <w:bottom w:val="nil"/>
          <w:right w:val="nil"/>
          <w:between w:val="nil"/>
        </w:pBdr>
        <w:spacing w:after="0"/>
        <w:jc w:val="both"/>
        <w:rPr>
          <w:i/>
          <w:color w:val="000000"/>
        </w:rPr>
      </w:pPr>
      <w:sdt>
        <w:sdtPr>
          <w:tag w:val="goog_rdk_1"/>
          <w:id w:val="383995846"/>
        </w:sdtPr>
        <w:sdtEndPr/>
        <w:sdtContent/>
      </w:sdt>
      <w:r w:rsidR="000022DE">
        <w:rPr>
          <w:color w:val="000000"/>
        </w:rPr>
        <w:t xml:space="preserve">Nous proposons une définition plus large de cette monographie selon les termes suivants : </w:t>
      </w:r>
      <w:r w:rsidR="000022DE">
        <w:rPr>
          <w:i/>
          <w:color w:val="000000"/>
        </w:rPr>
        <w:t xml:space="preserve">préparations officinales constituées de plusieurs huiles essentielles pures ou diluées dans un/ plusieurs d’excipients qui sont destinés à la voie </w:t>
      </w:r>
      <w:r w:rsidR="00D47E97">
        <w:rPr>
          <w:i/>
          <w:color w:val="000000"/>
        </w:rPr>
        <w:t xml:space="preserve">interne </w:t>
      </w:r>
      <w:r w:rsidR="000022DE">
        <w:rPr>
          <w:i/>
          <w:color w:val="000000"/>
        </w:rPr>
        <w:t xml:space="preserve">(huile grasse végétale définie, triglycéride à chaîne moyenne, </w:t>
      </w:r>
      <w:r w:rsidR="00D47E97">
        <w:rPr>
          <w:i/>
          <w:color w:val="000000"/>
        </w:rPr>
        <w:t>éthanol</w:t>
      </w:r>
      <w:r w:rsidR="000022DE">
        <w:rPr>
          <w:i/>
          <w:color w:val="000000"/>
        </w:rPr>
        <w:t xml:space="preserve">, extrait fluide, extrait de plante standardisé, </w:t>
      </w:r>
      <w:r w:rsidR="00F0291B">
        <w:rPr>
          <w:i/>
          <w:color w:val="000000"/>
        </w:rPr>
        <w:t xml:space="preserve">silice, </w:t>
      </w:r>
      <w:proofErr w:type="spellStart"/>
      <w:r w:rsidR="00D47E97">
        <w:rPr>
          <w:i/>
          <w:color w:val="000000"/>
        </w:rPr>
        <w:t>witepsol</w:t>
      </w:r>
      <w:proofErr w:type="spellEnd"/>
      <w:r w:rsidR="00D47E97">
        <w:t>®</w:t>
      </w:r>
      <w:r w:rsidR="00D47E97">
        <w:rPr>
          <w:i/>
          <w:color w:val="000000"/>
        </w:rPr>
        <w:t xml:space="preserve">, </w:t>
      </w:r>
      <w:r w:rsidR="000022DE">
        <w:rPr>
          <w:i/>
          <w:color w:val="000000"/>
        </w:rPr>
        <w:t xml:space="preserve">etc…). </w:t>
      </w:r>
    </w:p>
    <w:p w14:paraId="1EA02AC1" w14:textId="77777777" w:rsidR="00093347" w:rsidRDefault="00093347">
      <w:pPr>
        <w:pBdr>
          <w:top w:val="nil"/>
          <w:left w:val="nil"/>
          <w:bottom w:val="nil"/>
          <w:right w:val="nil"/>
          <w:between w:val="nil"/>
        </w:pBdr>
        <w:ind w:left="720"/>
        <w:rPr>
          <w:color w:val="000000"/>
        </w:rPr>
      </w:pPr>
    </w:p>
    <w:p w14:paraId="0194E783" w14:textId="77777777" w:rsidR="00093347" w:rsidRDefault="00093347">
      <w:pPr>
        <w:pBdr>
          <w:top w:val="nil"/>
          <w:left w:val="nil"/>
          <w:bottom w:val="nil"/>
          <w:right w:val="nil"/>
          <w:between w:val="nil"/>
        </w:pBdr>
        <w:ind w:left="720"/>
        <w:rPr>
          <w:color w:val="000000"/>
        </w:rPr>
      </w:pPr>
    </w:p>
    <w:p w14:paraId="4882454F" w14:textId="77777777" w:rsidR="00093347" w:rsidRDefault="000022DE">
      <w:pPr>
        <w:rPr>
          <w:b/>
        </w:rPr>
      </w:pPr>
      <w:r>
        <w:rPr>
          <w:b/>
        </w:rPr>
        <w:t>CHAPITRE « PRODUCTION »</w:t>
      </w:r>
    </w:p>
    <w:p w14:paraId="48A9D4CC" w14:textId="77777777" w:rsidR="00093347" w:rsidRDefault="00093347">
      <w:pPr>
        <w:pBdr>
          <w:top w:val="nil"/>
          <w:left w:val="nil"/>
          <w:bottom w:val="nil"/>
          <w:right w:val="nil"/>
          <w:between w:val="nil"/>
        </w:pBdr>
        <w:spacing w:after="0"/>
        <w:ind w:left="720"/>
        <w:jc w:val="both"/>
        <w:rPr>
          <w:color w:val="000000"/>
        </w:rPr>
      </w:pPr>
    </w:p>
    <w:p w14:paraId="36556708" w14:textId="77777777" w:rsidR="00093347" w:rsidRPr="0049143F" w:rsidRDefault="000022DE">
      <w:pPr>
        <w:numPr>
          <w:ilvl w:val="0"/>
          <w:numId w:val="3"/>
        </w:numPr>
        <w:pBdr>
          <w:top w:val="nil"/>
          <w:left w:val="nil"/>
          <w:bottom w:val="nil"/>
          <w:right w:val="nil"/>
          <w:between w:val="nil"/>
        </w:pBdr>
        <w:spacing w:after="0"/>
        <w:jc w:val="both"/>
      </w:pPr>
      <w:r>
        <w:t xml:space="preserve">A propos </w:t>
      </w:r>
      <w:r w:rsidRPr="0049143F">
        <w:t>de la limite à trois huiles essentielles :</w:t>
      </w:r>
    </w:p>
    <w:p w14:paraId="055E7E58" w14:textId="77777777" w:rsidR="00093347" w:rsidRDefault="0049143F">
      <w:pPr>
        <w:pBdr>
          <w:top w:val="nil"/>
          <w:left w:val="nil"/>
          <w:bottom w:val="nil"/>
          <w:right w:val="nil"/>
          <w:between w:val="nil"/>
        </w:pBdr>
        <w:spacing w:after="0"/>
        <w:ind w:left="720"/>
        <w:jc w:val="both"/>
      </w:pPr>
      <w:r>
        <w:rPr>
          <w:color w:val="000000"/>
        </w:rPr>
        <w:t xml:space="preserve">Le </w:t>
      </w:r>
      <w:r w:rsidR="000022DE" w:rsidRPr="0049143F">
        <w:rPr>
          <w:color w:val="000000"/>
        </w:rPr>
        <w:t>concept d’effet de synergie, connu dans le domaine de la toxicologie, est de plus en plus étudié et avéré</w:t>
      </w:r>
      <w:r w:rsidR="000022DE">
        <w:rPr>
          <w:color w:val="000000"/>
        </w:rPr>
        <w:t xml:space="preserve"> en aromathérapie. Des exemples de synergies de mélanges de composés aromatiques étudiées in vitro et in vivo sont décrits dans l’ouvrage </w:t>
      </w:r>
      <w:r w:rsidR="000022DE">
        <w:rPr>
          <w:i/>
          <w:color w:val="000000"/>
        </w:rPr>
        <w:t xml:space="preserve">Essential </w:t>
      </w:r>
      <w:proofErr w:type="spellStart"/>
      <w:r w:rsidR="000022DE">
        <w:rPr>
          <w:i/>
          <w:color w:val="000000"/>
        </w:rPr>
        <w:t>oil</w:t>
      </w:r>
      <w:proofErr w:type="spellEnd"/>
      <w:r w:rsidR="000022DE">
        <w:rPr>
          <w:i/>
          <w:color w:val="000000"/>
        </w:rPr>
        <w:t xml:space="preserve"> </w:t>
      </w:r>
      <w:proofErr w:type="spellStart"/>
      <w:proofErr w:type="gramStart"/>
      <w:r w:rsidR="000022DE">
        <w:rPr>
          <w:i/>
          <w:color w:val="000000"/>
        </w:rPr>
        <w:t>safety</w:t>
      </w:r>
      <w:proofErr w:type="spellEnd"/>
      <w:r w:rsidR="000022DE">
        <w:rPr>
          <w:color w:val="000000"/>
        </w:rPr>
        <w:t>,  2</w:t>
      </w:r>
      <w:proofErr w:type="gramEnd"/>
      <w:r w:rsidR="000022DE">
        <w:rPr>
          <w:color w:val="000000"/>
          <w:vertAlign w:val="superscript"/>
        </w:rPr>
        <w:t>nd</w:t>
      </w:r>
      <w:r w:rsidR="000022DE">
        <w:rPr>
          <w:color w:val="000000"/>
        </w:rPr>
        <w:t xml:space="preserve"> édition, Tisserand and Young, dans le chapitre </w:t>
      </w:r>
      <w:proofErr w:type="spellStart"/>
      <w:r w:rsidR="000022DE">
        <w:rPr>
          <w:i/>
          <w:color w:val="000000"/>
        </w:rPr>
        <w:t>Toxic</w:t>
      </w:r>
      <w:proofErr w:type="spellEnd"/>
      <w:r w:rsidR="000022DE">
        <w:rPr>
          <w:i/>
          <w:color w:val="000000"/>
        </w:rPr>
        <w:t xml:space="preserve"> substances</w:t>
      </w:r>
      <w:r w:rsidR="000022DE">
        <w:rPr>
          <w:color w:val="000000"/>
        </w:rPr>
        <w:t>.</w:t>
      </w:r>
    </w:p>
    <w:p w14:paraId="1521A0AE" w14:textId="77777777" w:rsidR="00093347" w:rsidRDefault="000022DE">
      <w:pPr>
        <w:pBdr>
          <w:top w:val="nil"/>
          <w:left w:val="nil"/>
          <w:bottom w:val="nil"/>
          <w:right w:val="nil"/>
          <w:between w:val="nil"/>
        </w:pBdr>
        <w:spacing w:after="0"/>
        <w:ind w:left="720"/>
        <w:jc w:val="both"/>
        <w:rPr>
          <w:color w:val="000000"/>
        </w:rPr>
      </w:pPr>
      <w:r>
        <w:rPr>
          <w:color w:val="000000"/>
        </w:rPr>
        <w:t>De plus, associer plusieurs huiles essentielles en mélange est une pratique traditionnelle ancrée chez les prescripteurs et utilisateurs d’aromathérapie, pratique que l’on retrouve par ailleurs dans les prescriptions de préparations magistrales.</w:t>
      </w:r>
    </w:p>
    <w:p w14:paraId="461DFB38" w14:textId="77777777" w:rsidR="00093347" w:rsidRDefault="000022DE">
      <w:pPr>
        <w:pBdr>
          <w:top w:val="nil"/>
          <w:left w:val="nil"/>
          <w:bottom w:val="nil"/>
          <w:right w:val="nil"/>
          <w:between w:val="nil"/>
        </w:pBdr>
        <w:spacing w:after="0"/>
        <w:ind w:left="720"/>
        <w:jc w:val="both"/>
        <w:rPr>
          <w:color w:val="000000"/>
        </w:rPr>
      </w:pPr>
      <w:r>
        <w:rPr>
          <w:color w:val="000000"/>
        </w:rPr>
        <w:t xml:space="preserve">Enfin, il existe déjà des médicaments, dispositifs médicaux et compléments alimentaires contenant plus de 3 huiles essentielles (ex : certains produits </w:t>
      </w:r>
      <w:proofErr w:type="spellStart"/>
      <w:r>
        <w:rPr>
          <w:color w:val="000000"/>
        </w:rPr>
        <w:t>Pranarom</w:t>
      </w:r>
      <w:proofErr w:type="spellEnd"/>
      <w:r>
        <w:rPr>
          <w:color w:val="000000"/>
        </w:rPr>
        <w:t xml:space="preserve">). </w:t>
      </w:r>
    </w:p>
    <w:p w14:paraId="073B5C2E" w14:textId="77777777" w:rsidR="00093347" w:rsidRDefault="00093347">
      <w:pPr>
        <w:pBdr>
          <w:top w:val="nil"/>
          <w:left w:val="nil"/>
          <w:bottom w:val="nil"/>
          <w:right w:val="nil"/>
          <w:between w:val="nil"/>
        </w:pBdr>
        <w:spacing w:after="0"/>
        <w:ind w:left="720"/>
        <w:jc w:val="both"/>
        <w:rPr>
          <w:color w:val="000000"/>
        </w:rPr>
      </w:pPr>
    </w:p>
    <w:p w14:paraId="0B4BF31B" w14:textId="77777777" w:rsidR="00093347" w:rsidRDefault="000022DE">
      <w:pPr>
        <w:pBdr>
          <w:top w:val="nil"/>
          <w:left w:val="nil"/>
          <w:bottom w:val="nil"/>
          <w:right w:val="nil"/>
          <w:between w:val="nil"/>
        </w:pBdr>
        <w:spacing w:after="0"/>
        <w:ind w:left="720"/>
        <w:jc w:val="both"/>
        <w:rPr>
          <w:color w:val="000000"/>
        </w:rPr>
      </w:pPr>
      <w:r>
        <w:rPr>
          <w:color w:val="000000"/>
        </w:rPr>
        <w:t xml:space="preserve">Nous proposons donc de porter à </w:t>
      </w:r>
      <w:r>
        <w:rPr>
          <w:b/>
          <w:color w:val="000000"/>
        </w:rPr>
        <w:t xml:space="preserve">cinq </w:t>
      </w:r>
      <w:r>
        <w:rPr>
          <w:color w:val="000000"/>
        </w:rPr>
        <w:t>le nombre maximal d’huiles essentielles, en limitant à un maximum de 3 huiles essentielles cétoniques dans la même préparation. Ainsi, avec ce</w:t>
      </w:r>
      <w:r w:rsidR="00C4422F">
        <w:rPr>
          <w:color w:val="000000"/>
        </w:rPr>
        <w:t>tte</w:t>
      </w:r>
      <w:r>
        <w:rPr>
          <w:color w:val="000000"/>
        </w:rPr>
        <w:t xml:space="preserve"> limitation quantitative, associée aux précautions d’usage recensées dans l’annexe IV, la sécurité d’emploi reste assurée.</w:t>
      </w:r>
    </w:p>
    <w:p w14:paraId="7BBA1498" w14:textId="77777777" w:rsidR="00093347" w:rsidRDefault="00093347">
      <w:pPr>
        <w:pBdr>
          <w:top w:val="nil"/>
          <w:left w:val="nil"/>
          <w:bottom w:val="nil"/>
          <w:right w:val="nil"/>
          <w:between w:val="nil"/>
        </w:pBdr>
        <w:spacing w:after="0"/>
        <w:ind w:left="720"/>
        <w:jc w:val="both"/>
        <w:rPr>
          <w:color w:val="000000"/>
        </w:rPr>
      </w:pPr>
    </w:p>
    <w:p w14:paraId="2CB4F77E" w14:textId="77777777" w:rsidR="00093347" w:rsidRDefault="000022DE">
      <w:pPr>
        <w:numPr>
          <w:ilvl w:val="0"/>
          <w:numId w:val="3"/>
        </w:numPr>
        <w:pBdr>
          <w:top w:val="nil"/>
          <w:left w:val="nil"/>
          <w:bottom w:val="nil"/>
          <w:right w:val="nil"/>
          <w:between w:val="nil"/>
        </w:pBdr>
        <w:spacing w:after="0"/>
        <w:jc w:val="both"/>
      </w:pPr>
      <w:r>
        <w:rPr>
          <w:color w:val="000000"/>
        </w:rPr>
        <w:t xml:space="preserve">La </w:t>
      </w:r>
      <w:r>
        <w:rPr>
          <w:b/>
          <w:color w:val="000000"/>
        </w:rPr>
        <w:t>taille des lots</w:t>
      </w:r>
      <w:r>
        <w:rPr>
          <w:color w:val="000000"/>
        </w:rPr>
        <w:t xml:space="preserve"> ne devrait pas être limitée par </w:t>
      </w:r>
      <w:r w:rsidR="00DF4292">
        <w:rPr>
          <w:color w:val="000000"/>
        </w:rPr>
        <w:t>cette</w:t>
      </w:r>
      <w:r>
        <w:rPr>
          <w:color w:val="000000"/>
        </w:rPr>
        <w:t xml:space="preserve"> monographie car l’analyse de risque proposée par le texte des nouvelles BPP en enquête publique permettra de dimensionner la taille du lot. Nous pensons que l’appui sur les BPP sur la taille des lots garantira une meilleure sécurité aux préparations officinales à base d’huiles essentielles. </w:t>
      </w:r>
    </w:p>
    <w:p w14:paraId="35876262" w14:textId="77777777" w:rsidR="00093347" w:rsidRDefault="000022DE">
      <w:pPr>
        <w:pBdr>
          <w:top w:val="nil"/>
          <w:left w:val="nil"/>
          <w:bottom w:val="nil"/>
          <w:right w:val="nil"/>
          <w:between w:val="nil"/>
        </w:pBdr>
        <w:spacing w:after="0"/>
        <w:ind w:left="720"/>
        <w:jc w:val="both"/>
        <w:rPr>
          <w:color w:val="000000"/>
        </w:rPr>
      </w:pPr>
      <w:r>
        <w:rPr>
          <w:color w:val="000000"/>
        </w:rPr>
        <w:t>Nous suggérons donc la suppression des lignes 2</w:t>
      </w:r>
      <w:r w:rsidR="00F0291B">
        <w:rPr>
          <w:color w:val="000000"/>
        </w:rPr>
        <w:t>5</w:t>
      </w:r>
      <w:r>
        <w:rPr>
          <w:color w:val="000000"/>
        </w:rPr>
        <w:t xml:space="preserve"> et 2</w:t>
      </w:r>
      <w:r w:rsidR="00F0291B">
        <w:rPr>
          <w:color w:val="000000"/>
        </w:rPr>
        <w:t>6</w:t>
      </w:r>
      <w:r>
        <w:rPr>
          <w:color w:val="000000"/>
        </w:rPr>
        <w:t xml:space="preserve"> de la monographie 1281.</w:t>
      </w:r>
    </w:p>
    <w:p w14:paraId="25D619A0" w14:textId="77777777" w:rsidR="00093347" w:rsidRDefault="00093347">
      <w:pPr>
        <w:pBdr>
          <w:top w:val="nil"/>
          <w:left w:val="nil"/>
          <w:bottom w:val="nil"/>
          <w:right w:val="nil"/>
          <w:between w:val="nil"/>
        </w:pBdr>
        <w:spacing w:after="0"/>
        <w:ind w:left="720"/>
        <w:jc w:val="both"/>
        <w:rPr>
          <w:color w:val="000000"/>
        </w:rPr>
      </w:pPr>
    </w:p>
    <w:p w14:paraId="21A1E8AB" w14:textId="77777777" w:rsidR="00093347" w:rsidRDefault="000022DE">
      <w:pPr>
        <w:numPr>
          <w:ilvl w:val="0"/>
          <w:numId w:val="3"/>
        </w:numPr>
        <w:pBdr>
          <w:top w:val="nil"/>
          <w:left w:val="nil"/>
          <w:bottom w:val="nil"/>
          <w:right w:val="nil"/>
          <w:between w:val="nil"/>
        </w:pBdr>
        <w:spacing w:after="0"/>
        <w:jc w:val="both"/>
      </w:pPr>
      <w:r>
        <w:rPr>
          <w:b/>
          <w:color w:val="000000"/>
        </w:rPr>
        <w:t>L’emploi d’excipient</w:t>
      </w:r>
      <w:r>
        <w:rPr>
          <w:color w:val="000000"/>
        </w:rPr>
        <w:t xml:space="preserve"> devrait être mentionné afin de sécuriser leur utilisation. L’utilisation de ces excipients devra répondre aux exigences des BPP en vigueur. L’ajout d’excipients semble nécessaire pour des éléments de </w:t>
      </w:r>
      <w:r w:rsidR="00DF4292">
        <w:rPr>
          <w:color w:val="000000"/>
        </w:rPr>
        <w:t xml:space="preserve">faisabilité technique, de </w:t>
      </w:r>
      <w:r>
        <w:rPr>
          <w:color w:val="000000"/>
        </w:rPr>
        <w:t xml:space="preserve">sécurité et d’observance. A l’instar des formulations en préparation magistrale, il est nécessaire d’ajouter des </w:t>
      </w:r>
      <w:proofErr w:type="spellStart"/>
      <w:r>
        <w:rPr>
          <w:color w:val="000000"/>
        </w:rPr>
        <w:t>solubilisants</w:t>
      </w:r>
      <w:proofErr w:type="spellEnd"/>
      <w:r>
        <w:rPr>
          <w:color w:val="000000"/>
        </w:rPr>
        <w:t xml:space="preserve">, des </w:t>
      </w:r>
      <w:r>
        <w:rPr>
          <w:color w:val="000000"/>
        </w:rPr>
        <w:lastRenderedPageBreak/>
        <w:t>diluants répond</w:t>
      </w:r>
      <w:r w:rsidR="005A7BF4">
        <w:rPr>
          <w:color w:val="000000"/>
        </w:rPr>
        <w:t>a</w:t>
      </w:r>
      <w:r>
        <w:rPr>
          <w:color w:val="000000"/>
        </w:rPr>
        <w:t xml:space="preserve">nt aux critères de MPUP. À titre d’exemple, ces excipients peuvent être des huiles végétales, des triglycérides à </w:t>
      </w:r>
      <w:r>
        <w:t>chaîne</w:t>
      </w:r>
      <w:r>
        <w:rPr>
          <w:color w:val="000000"/>
        </w:rPr>
        <w:t xml:space="preserve"> moyenne destinée à la voie orale, de l’éthanol ou des extraits végétaux alcooliques.  </w:t>
      </w:r>
    </w:p>
    <w:p w14:paraId="5B679DEB" w14:textId="77777777" w:rsidR="00093347" w:rsidRDefault="00093347">
      <w:pPr>
        <w:pBdr>
          <w:top w:val="nil"/>
          <w:left w:val="nil"/>
          <w:bottom w:val="nil"/>
          <w:right w:val="nil"/>
          <w:between w:val="nil"/>
        </w:pBdr>
        <w:ind w:left="720"/>
        <w:jc w:val="both"/>
        <w:rPr>
          <w:color w:val="000000"/>
        </w:rPr>
      </w:pPr>
    </w:p>
    <w:p w14:paraId="31222A3F" w14:textId="77777777" w:rsidR="00093347" w:rsidRDefault="000022DE">
      <w:pPr>
        <w:rPr>
          <w:b/>
        </w:rPr>
      </w:pPr>
      <w:r>
        <w:rPr>
          <w:b/>
        </w:rPr>
        <w:t>CHAPITRE « CONTRÔLE DE LA QUALITÉ »</w:t>
      </w:r>
    </w:p>
    <w:p w14:paraId="06BB7F9E" w14:textId="77777777" w:rsidR="00093347" w:rsidRDefault="000022DE">
      <w:pPr>
        <w:jc w:val="both"/>
      </w:pPr>
      <w:r>
        <w:t>Contrôle de la préparation terminée :</w:t>
      </w:r>
    </w:p>
    <w:p w14:paraId="621B83DF" w14:textId="77777777" w:rsidR="00093347" w:rsidRDefault="000022DE">
      <w:pPr>
        <w:numPr>
          <w:ilvl w:val="0"/>
          <w:numId w:val="3"/>
        </w:numPr>
        <w:pBdr>
          <w:top w:val="nil"/>
          <w:left w:val="nil"/>
          <w:bottom w:val="nil"/>
          <w:right w:val="nil"/>
          <w:between w:val="nil"/>
        </w:pBdr>
        <w:jc w:val="both"/>
        <w:rPr>
          <w:b/>
          <w:color w:val="000000"/>
        </w:rPr>
      </w:pPr>
      <w:proofErr w:type="gramStart"/>
      <w:r>
        <w:t>paragraphe</w:t>
      </w:r>
      <w:proofErr w:type="gramEnd"/>
      <w:r>
        <w:t xml:space="preserve"> B. Identification et paragraphe C. Dosage :</w:t>
      </w:r>
    </w:p>
    <w:p w14:paraId="549EFA0C" w14:textId="77777777" w:rsidR="00093347" w:rsidRDefault="000022DE">
      <w:pPr>
        <w:pBdr>
          <w:top w:val="nil"/>
          <w:left w:val="nil"/>
          <w:bottom w:val="nil"/>
          <w:right w:val="nil"/>
          <w:between w:val="nil"/>
        </w:pBdr>
        <w:ind w:left="720"/>
        <w:jc w:val="both"/>
        <w:rPr>
          <w:color w:val="000000"/>
        </w:rPr>
      </w:pPr>
      <w:r>
        <w:t>Dans le cas où la préparation officinale contient plusieurs huiles essentielles dont les méthodes de dosage par CPG dans leurs</w:t>
      </w:r>
      <w:r>
        <w:rPr>
          <w:color w:val="000000"/>
        </w:rPr>
        <w:t xml:space="preserve"> monographies </w:t>
      </w:r>
      <w:r>
        <w:t>respective</w:t>
      </w:r>
      <w:r>
        <w:rPr>
          <w:color w:val="000000"/>
        </w:rPr>
        <w:t xml:space="preserve">s </w:t>
      </w:r>
      <w:r>
        <w:t xml:space="preserve">sont différentes en termes de conditions chromatographiques, quelle méthode </w:t>
      </w:r>
      <w:r>
        <w:rPr>
          <w:color w:val="000000"/>
        </w:rPr>
        <w:t xml:space="preserve">CPG doit </w:t>
      </w:r>
      <w:r>
        <w:t>être</w:t>
      </w:r>
      <w:r>
        <w:rPr>
          <w:color w:val="000000"/>
        </w:rPr>
        <w:t xml:space="preserve"> mise en </w:t>
      </w:r>
      <w:r>
        <w:t>œuvre pour le contrôle de la préparation</w:t>
      </w:r>
      <w:r>
        <w:rPr>
          <w:color w:val="000000"/>
        </w:rPr>
        <w:t xml:space="preserve"> ?</w:t>
      </w:r>
    </w:p>
    <w:p w14:paraId="71EB77BF" w14:textId="77777777" w:rsidR="00093347" w:rsidRDefault="00093347">
      <w:pPr>
        <w:jc w:val="both"/>
        <w:rPr>
          <w:b/>
        </w:rPr>
      </w:pPr>
    </w:p>
    <w:p w14:paraId="715DCEF9" w14:textId="77777777" w:rsidR="00093347" w:rsidRDefault="000022DE">
      <w:pPr>
        <w:jc w:val="both"/>
        <w:rPr>
          <w:b/>
        </w:rPr>
      </w:pPr>
      <w:r>
        <w:rPr>
          <w:b/>
        </w:rPr>
        <w:t>CHAPITRE « CONSERVATION »</w:t>
      </w:r>
    </w:p>
    <w:p w14:paraId="36DA1893" w14:textId="77777777" w:rsidR="00093347" w:rsidRDefault="00703EC5">
      <w:pPr>
        <w:numPr>
          <w:ilvl w:val="0"/>
          <w:numId w:val="3"/>
        </w:numPr>
        <w:pBdr>
          <w:top w:val="nil"/>
          <w:left w:val="nil"/>
          <w:bottom w:val="nil"/>
          <w:right w:val="nil"/>
          <w:between w:val="nil"/>
        </w:pBdr>
        <w:spacing w:after="0"/>
        <w:jc w:val="both"/>
      </w:pPr>
      <w:r>
        <w:rPr>
          <w:color w:val="000000"/>
        </w:rPr>
        <w:t>Nous proposons la modification suivante : l</w:t>
      </w:r>
      <w:r w:rsidR="000022DE">
        <w:rPr>
          <w:color w:val="000000"/>
        </w:rPr>
        <w:t xml:space="preserve">a péremption des préparations terminées </w:t>
      </w:r>
      <w:r>
        <w:rPr>
          <w:color w:val="000000"/>
        </w:rPr>
        <w:t xml:space="preserve">est </w:t>
      </w:r>
      <w:proofErr w:type="gramStart"/>
      <w:r>
        <w:rPr>
          <w:color w:val="000000"/>
        </w:rPr>
        <w:t>de un</w:t>
      </w:r>
      <w:proofErr w:type="gramEnd"/>
      <w:r>
        <w:rPr>
          <w:color w:val="000000"/>
        </w:rPr>
        <w:t xml:space="preserve"> mois en l’absence de données de stabilité du mélange et </w:t>
      </w:r>
      <w:r w:rsidR="000022DE">
        <w:rPr>
          <w:color w:val="000000"/>
        </w:rPr>
        <w:t>doit être déterminée en fonction des critères défin</w:t>
      </w:r>
      <w:r>
        <w:rPr>
          <w:color w:val="000000"/>
        </w:rPr>
        <w:t>is dans les BPP en vigueur</w:t>
      </w:r>
      <w:r w:rsidR="000022DE">
        <w:rPr>
          <w:color w:val="000000"/>
        </w:rPr>
        <w:t xml:space="preserve">. </w:t>
      </w:r>
    </w:p>
    <w:p w14:paraId="67ED8B74" w14:textId="77777777" w:rsidR="00093347" w:rsidRDefault="00093347">
      <w:pPr>
        <w:pBdr>
          <w:top w:val="nil"/>
          <w:left w:val="nil"/>
          <w:bottom w:val="nil"/>
          <w:right w:val="nil"/>
          <w:between w:val="nil"/>
        </w:pBdr>
        <w:spacing w:after="0"/>
        <w:jc w:val="both"/>
        <w:rPr>
          <w:color w:val="000000"/>
        </w:rPr>
      </w:pPr>
    </w:p>
    <w:p w14:paraId="1F0BC8FE" w14:textId="77777777" w:rsidR="00093347" w:rsidRDefault="00093347">
      <w:pPr>
        <w:pBdr>
          <w:top w:val="nil"/>
          <w:left w:val="nil"/>
          <w:bottom w:val="nil"/>
          <w:right w:val="nil"/>
          <w:between w:val="nil"/>
        </w:pBdr>
        <w:spacing w:after="0"/>
        <w:jc w:val="both"/>
      </w:pPr>
    </w:p>
    <w:p w14:paraId="222A88AC" w14:textId="77777777" w:rsidR="00093347" w:rsidRDefault="006B7742">
      <w:pPr>
        <w:rPr>
          <w:b/>
        </w:rPr>
      </w:pPr>
      <w:sdt>
        <w:sdtPr>
          <w:tag w:val="goog_rdk_2"/>
          <w:id w:val="1269582917"/>
        </w:sdtPr>
        <w:sdtEndPr/>
        <w:sdtContent/>
      </w:sdt>
      <w:r w:rsidR="000022DE">
        <w:rPr>
          <w:b/>
        </w:rPr>
        <w:t>CHAPITRE « USAGE ET CONTRE-INDICATIONS »</w:t>
      </w:r>
    </w:p>
    <w:p w14:paraId="54CA0480" w14:textId="77777777" w:rsidR="00093347" w:rsidRDefault="000022DE">
      <w:pPr>
        <w:numPr>
          <w:ilvl w:val="0"/>
          <w:numId w:val="7"/>
        </w:numPr>
        <w:pBdr>
          <w:top w:val="nil"/>
          <w:left w:val="nil"/>
          <w:bottom w:val="nil"/>
          <w:right w:val="nil"/>
          <w:between w:val="nil"/>
        </w:pBdr>
        <w:spacing w:after="0"/>
        <w:jc w:val="both"/>
        <w:rPr>
          <w:b/>
          <w:color w:val="000000"/>
        </w:rPr>
      </w:pPr>
      <w:r>
        <w:rPr>
          <w:color w:val="000000"/>
        </w:rPr>
        <w:t xml:space="preserve">La dilution dans un </w:t>
      </w:r>
      <w:r w:rsidR="0049143F">
        <w:rPr>
          <w:color w:val="000000"/>
        </w:rPr>
        <w:t xml:space="preserve">verre d’eau </w:t>
      </w:r>
      <w:r>
        <w:rPr>
          <w:color w:val="000000"/>
        </w:rPr>
        <w:t xml:space="preserve">ne semble pas adaptée en raison de la très faible miscibilité des huiles </w:t>
      </w:r>
      <w:r>
        <w:t xml:space="preserve">essentielles </w:t>
      </w:r>
      <w:r>
        <w:rPr>
          <w:color w:val="000000"/>
        </w:rPr>
        <w:t>dans l’eau. Nous proposons de remplacer</w:t>
      </w:r>
      <w:r w:rsidR="00040871">
        <w:rPr>
          <w:color w:val="000000"/>
        </w:rPr>
        <w:t xml:space="preserve"> la ligne 36</w:t>
      </w:r>
      <w:r w:rsidR="007411A6">
        <w:rPr>
          <w:color w:val="000000"/>
        </w:rPr>
        <w:t xml:space="preserve"> de la page 3</w:t>
      </w:r>
      <w:r>
        <w:rPr>
          <w:color w:val="000000"/>
        </w:rPr>
        <w:t xml:space="preserve"> par la phrase suivante : la préparation est délivrée par la pharmacie d’officine avec les conseils de dispensation associés. </w:t>
      </w:r>
    </w:p>
    <w:p w14:paraId="651B906B" w14:textId="77777777" w:rsidR="00093347" w:rsidRDefault="00093347">
      <w:pPr>
        <w:pBdr>
          <w:top w:val="nil"/>
          <w:left w:val="nil"/>
          <w:bottom w:val="nil"/>
          <w:right w:val="nil"/>
          <w:between w:val="nil"/>
        </w:pBdr>
        <w:ind w:left="720"/>
        <w:rPr>
          <w:b/>
          <w:color w:val="000000"/>
        </w:rPr>
      </w:pPr>
    </w:p>
    <w:p w14:paraId="6D80449E" w14:textId="77777777" w:rsidR="00093347" w:rsidRDefault="000022DE">
      <w:pPr>
        <w:rPr>
          <w:b/>
        </w:rPr>
      </w:pPr>
      <w:r>
        <w:rPr>
          <w:b/>
        </w:rPr>
        <w:t>ANNEXE I</w:t>
      </w:r>
    </w:p>
    <w:p w14:paraId="6CD542E1" w14:textId="77777777" w:rsidR="00093347" w:rsidRDefault="00954A56">
      <w:pPr>
        <w:numPr>
          <w:ilvl w:val="0"/>
          <w:numId w:val="3"/>
        </w:numPr>
        <w:pBdr>
          <w:top w:val="nil"/>
          <w:left w:val="nil"/>
          <w:bottom w:val="nil"/>
          <w:right w:val="nil"/>
          <w:between w:val="nil"/>
        </w:pBdr>
        <w:jc w:val="both"/>
      </w:pPr>
      <w:r>
        <w:rPr>
          <w:color w:val="000000"/>
        </w:rPr>
        <w:t>N</w:t>
      </w:r>
      <w:r w:rsidR="000022DE">
        <w:rPr>
          <w:color w:val="000000"/>
        </w:rPr>
        <w:t xml:space="preserve">ous proposons que la liste </w:t>
      </w:r>
      <w:r w:rsidR="000022DE">
        <w:t xml:space="preserve">soit plutôt </w:t>
      </w:r>
      <w:r w:rsidR="000022DE">
        <w:rPr>
          <w:color w:val="000000"/>
        </w:rPr>
        <w:t>une liste d’huiles essentielles qui seraient interdites dans les préparations officinales en raison d’une difficulté de maniabilité et de dangerosité de ces dernières. Les huiles essentielles non mentionnées dans cette liste pourraient être utilisées dans le cadre de cette monographie en lien avec les BPP en vigueur.</w:t>
      </w:r>
    </w:p>
    <w:p w14:paraId="4C7397B7" w14:textId="77777777" w:rsidR="00093347" w:rsidRDefault="000022DE">
      <w:pPr>
        <w:jc w:val="both"/>
        <w:rPr>
          <w:b/>
          <w:i/>
        </w:rPr>
      </w:pPr>
      <w:r>
        <w:rPr>
          <w:b/>
        </w:rPr>
        <w:t xml:space="preserve">Listes des huiles essentielles interdites dans les </w:t>
      </w:r>
      <w:r>
        <w:rPr>
          <w:b/>
          <w:i/>
        </w:rPr>
        <w:t xml:space="preserve">Mélanges d’huiles essentielles destinés à la voie orale pour préparations officinales : </w:t>
      </w:r>
    </w:p>
    <w:p w14:paraId="09902991" w14:textId="77777777" w:rsidR="00093347" w:rsidRDefault="000022DE">
      <w:pPr>
        <w:jc w:val="both"/>
        <w:rPr>
          <w:i/>
        </w:rPr>
      </w:pPr>
      <w:r>
        <w:rPr>
          <w:i/>
        </w:rPr>
        <w:t xml:space="preserve">Selon le décret 2007-1198 du 3 Août 2007 (neurotoxique, irritante, </w:t>
      </w:r>
      <w:proofErr w:type="spellStart"/>
      <w:r>
        <w:rPr>
          <w:i/>
        </w:rPr>
        <w:t>phototoxique</w:t>
      </w:r>
      <w:proofErr w:type="spellEnd"/>
      <w:r>
        <w:rPr>
          <w:i/>
        </w:rPr>
        <w:t xml:space="preserve"> ou cancérigène) :</w:t>
      </w:r>
    </w:p>
    <w:p w14:paraId="7A974A3B"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sidRPr="000D0400">
        <w:t>Grande absinthe</w:t>
      </w:r>
      <w:r>
        <w:rPr>
          <w:i/>
        </w:rPr>
        <w:t xml:space="preserve"> (Artemisia </w:t>
      </w:r>
      <w:proofErr w:type="spellStart"/>
      <w:r>
        <w:rPr>
          <w:i/>
        </w:rPr>
        <w:t>absinthium</w:t>
      </w:r>
      <w:proofErr w:type="spellEnd"/>
      <w:r>
        <w:rPr>
          <w:i/>
        </w:rPr>
        <w:t xml:space="preserve"> L.) </w:t>
      </w:r>
    </w:p>
    <w:p w14:paraId="1907C03B"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sidRPr="000D0400">
        <w:t>Petite absinthe</w:t>
      </w:r>
      <w:r>
        <w:rPr>
          <w:i/>
        </w:rPr>
        <w:t xml:space="preserve"> (Artemisia </w:t>
      </w:r>
      <w:proofErr w:type="spellStart"/>
      <w:r>
        <w:rPr>
          <w:i/>
        </w:rPr>
        <w:t>pontica</w:t>
      </w:r>
      <w:proofErr w:type="spellEnd"/>
      <w:r>
        <w:rPr>
          <w:i/>
        </w:rPr>
        <w:t xml:space="preserve"> L.) </w:t>
      </w:r>
    </w:p>
    <w:p w14:paraId="59666894"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sidRPr="000D0400">
        <w:t>Armoise commune</w:t>
      </w:r>
      <w:r>
        <w:rPr>
          <w:i/>
        </w:rPr>
        <w:t xml:space="preserve"> (Artemisia vulgaris L.) </w:t>
      </w:r>
    </w:p>
    <w:p w14:paraId="48C6EB1A"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sidRPr="000D0400">
        <w:t>Armoise blanche</w:t>
      </w:r>
      <w:r>
        <w:rPr>
          <w:i/>
        </w:rPr>
        <w:t xml:space="preserve"> (Artemisia herba alba Asso) </w:t>
      </w:r>
    </w:p>
    <w:p w14:paraId="12362F85"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sidRPr="000D0400">
        <w:t>Armoise arborescente</w:t>
      </w:r>
      <w:r>
        <w:rPr>
          <w:i/>
        </w:rPr>
        <w:t xml:space="preserve"> (Artemisia </w:t>
      </w:r>
      <w:proofErr w:type="spellStart"/>
      <w:r>
        <w:rPr>
          <w:i/>
        </w:rPr>
        <w:t>arborescens</w:t>
      </w:r>
      <w:proofErr w:type="spellEnd"/>
      <w:r>
        <w:rPr>
          <w:i/>
        </w:rPr>
        <w:t xml:space="preserve"> L.) </w:t>
      </w:r>
    </w:p>
    <w:p w14:paraId="43C9CA72"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sidRPr="000D0400">
        <w:lastRenderedPageBreak/>
        <w:t>Thuya du Canada ou cèdre blanc</w:t>
      </w:r>
      <w:r>
        <w:rPr>
          <w:i/>
        </w:rPr>
        <w:t xml:space="preserve"> (Thuya occidentalis L.) </w:t>
      </w:r>
      <w:r w:rsidRPr="000D0400">
        <w:t>et cèdre de Corée</w:t>
      </w:r>
      <w:r>
        <w:rPr>
          <w:i/>
        </w:rPr>
        <w:t xml:space="preserve"> (Thuya </w:t>
      </w:r>
      <w:proofErr w:type="spellStart"/>
      <w:r>
        <w:rPr>
          <w:i/>
        </w:rPr>
        <w:t>Koraenensis</w:t>
      </w:r>
      <w:proofErr w:type="spellEnd"/>
      <w:r>
        <w:rPr>
          <w:i/>
        </w:rPr>
        <w:t xml:space="preserve"> </w:t>
      </w:r>
      <w:proofErr w:type="spellStart"/>
      <w:r>
        <w:rPr>
          <w:i/>
        </w:rPr>
        <w:t>Nakai</w:t>
      </w:r>
      <w:proofErr w:type="spellEnd"/>
      <w:r>
        <w:rPr>
          <w:i/>
        </w:rPr>
        <w:t xml:space="preserve">), </w:t>
      </w:r>
      <w:r w:rsidRPr="000D0400">
        <w:t>dits "cèdre feuille</w:t>
      </w:r>
    </w:p>
    <w:p w14:paraId="2F685C0B" w14:textId="77777777" w:rsidR="00093347" w:rsidRPr="000D0400" w:rsidRDefault="000022DE">
      <w:pPr>
        <w:pBdr>
          <w:top w:val="single" w:sz="4" w:space="1" w:color="000000"/>
          <w:left w:val="single" w:sz="4" w:space="4" w:color="000000"/>
          <w:bottom w:val="single" w:sz="4" w:space="1" w:color="000000"/>
          <w:right w:val="single" w:sz="4" w:space="4" w:color="000000"/>
          <w:between w:val="single" w:sz="4" w:space="1" w:color="000000"/>
        </w:pBdr>
        <w:jc w:val="both"/>
      </w:pPr>
      <w:r w:rsidRPr="000D0400">
        <w:t>Hysope</w:t>
      </w:r>
      <w:r>
        <w:rPr>
          <w:i/>
        </w:rPr>
        <w:t xml:space="preserve"> (</w:t>
      </w:r>
      <w:proofErr w:type="spellStart"/>
      <w:r>
        <w:rPr>
          <w:i/>
        </w:rPr>
        <w:t>Hyssopus</w:t>
      </w:r>
      <w:proofErr w:type="spellEnd"/>
      <w:r>
        <w:rPr>
          <w:i/>
        </w:rPr>
        <w:t xml:space="preserve"> </w:t>
      </w:r>
      <w:proofErr w:type="spellStart"/>
      <w:r>
        <w:rPr>
          <w:i/>
        </w:rPr>
        <w:t>officinalis</w:t>
      </w:r>
      <w:proofErr w:type="spellEnd"/>
      <w:r>
        <w:rPr>
          <w:i/>
        </w:rPr>
        <w:t xml:space="preserve"> L.) </w:t>
      </w:r>
      <w:r w:rsidR="005A7BF4">
        <w:rPr>
          <w:i/>
        </w:rPr>
        <w:t xml:space="preserve">  </w:t>
      </w:r>
      <w:r w:rsidR="005A7BF4" w:rsidRPr="000D0400">
        <w:t>NB :</w:t>
      </w:r>
      <w:r w:rsidR="005A7BF4">
        <w:t xml:space="preserve"> uniquement</w:t>
      </w:r>
      <w:r w:rsidR="005A7BF4">
        <w:rPr>
          <w:i/>
        </w:rPr>
        <w:t xml:space="preserve"> </w:t>
      </w:r>
      <w:proofErr w:type="spellStart"/>
      <w:r w:rsidR="005A7BF4">
        <w:rPr>
          <w:i/>
        </w:rPr>
        <w:t>Hyssopus</w:t>
      </w:r>
      <w:proofErr w:type="spellEnd"/>
      <w:r w:rsidR="005A7BF4">
        <w:rPr>
          <w:i/>
        </w:rPr>
        <w:t xml:space="preserve"> </w:t>
      </w:r>
      <w:proofErr w:type="spellStart"/>
      <w:r w:rsidR="005A7BF4">
        <w:rPr>
          <w:i/>
        </w:rPr>
        <w:t>officinalis</w:t>
      </w:r>
      <w:proofErr w:type="spellEnd"/>
      <w:r w:rsidR="005A7BF4" w:rsidRPr="005A7BF4">
        <w:rPr>
          <w:i/>
        </w:rPr>
        <w:t xml:space="preserve"> </w:t>
      </w:r>
      <w:proofErr w:type="spellStart"/>
      <w:r w:rsidR="005A7BF4">
        <w:rPr>
          <w:i/>
        </w:rPr>
        <w:t>ssp</w:t>
      </w:r>
      <w:proofErr w:type="spellEnd"/>
      <w:r w:rsidR="005A7BF4">
        <w:rPr>
          <w:i/>
        </w:rPr>
        <w:t xml:space="preserve">. </w:t>
      </w:r>
      <w:proofErr w:type="spellStart"/>
      <w:proofErr w:type="gramStart"/>
      <w:r w:rsidR="005A7BF4">
        <w:rPr>
          <w:i/>
        </w:rPr>
        <w:t>officinalis</w:t>
      </w:r>
      <w:proofErr w:type="spellEnd"/>
      <w:proofErr w:type="gramEnd"/>
    </w:p>
    <w:p w14:paraId="519FE9A9"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sidRPr="000D0400">
        <w:t xml:space="preserve">Sauge officinale </w:t>
      </w:r>
      <w:r>
        <w:rPr>
          <w:i/>
        </w:rPr>
        <w:t xml:space="preserve">(Salvia </w:t>
      </w:r>
      <w:proofErr w:type="spellStart"/>
      <w:r>
        <w:rPr>
          <w:i/>
        </w:rPr>
        <w:t>officinalis</w:t>
      </w:r>
      <w:proofErr w:type="spellEnd"/>
      <w:r>
        <w:rPr>
          <w:i/>
        </w:rPr>
        <w:t xml:space="preserve"> L.)</w:t>
      </w:r>
    </w:p>
    <w:p w14:paraId="7ED3E629"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sidRPr="000D0400">
        <w:t>Tanaisie</w:t>
      </w:r>
      <w:r>
        <w:rPr>
          <w:i/>
        </w:rPr>
        <w:t xml:space="preserve"> (</w:t>
      </w:r>
      <w:proofErr w:type="spellStart"/>
      <w:r>
        <w:rPr>
          <w:i/>
        </w:rPr>
        <w:t>Tanacetum</w:t>
      </w:r>
      <w:proofErr w:type="spellEnd"/>
      <w:r>
        <w:rPr>
          <w:i/>
        </w:rPr>
        <w:t xml:space="preserve"> </w:t>
      </w:r>
      <w:proofErr w:type="spellStart"/>
      <w:r>
        <w:rPr>
          <w:i/>
        </w:rPr>
        <w:t>vulgare</w:t>
      </w:r>
      <w:proofErr w:type="spellEnd"/>
      <w:r>
        <w:rPr>
          <w:i/>
        </w:rPr>
        <w:t xml:space="preserve"> L.)</w:t>
      </w:r>
    </w:p>
    <w:p w14:paraId="2231B712"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sidRPr="000D0400">
        <w:t>Thuya</w:t>
      </w:r>
      <w:r>
        <w:rPr>
          <w:i/>
        </w:rPr>
        <w:t xml:space="preserve"> (Thuya </w:t>
      </w:r>
      <w:proofErr w:type="spellStart"/>
      <w:r>
        <w:rPr>
          <w:i/>
        </w:rPr>
        <w:t>plicata</w:t>
      </w:r>
      <w:proofErr w:type="spellEnd"/>
      <w:r>
        <w:rPr>
          <w:i/>
        </w:rPr>
        <w:t xml:space="preserve"> </w:t>
      </w:r>
      <w:proofErr w:type="spellStart"/>
      <w:r>
        <w:rPr>
          <w:i/>
        </w:rPr>
        <w:t>Donn</w:t>
      </w:r>
      <w:proofErr w:type="spellEnd"/>
      <w:r>
        <w:rPr>
          <w:i/>
        </w:rPr>
        <w:t xml:space="preserve"> ex D. Don.) </w:t>
      </w:r>
    </w:p>
    <w:p w14:paraId="6848F0E6"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sidRPr="000D0400">
        <w:t>Sassafras</w:t>
      </w:r>
      <w:r>
        <w:rPr>
          <w:i/>
        </w:rPr>
        <w:t xml:space="preserve"> (Sassafras </w:t>
      </w:r>
      <w:proofErr w:type="spellStart"/>
      <w:r>
        <w:rPr>
          <w:i/>
        </w:rPr>
        <w:t>albidum</w:t>
      </w:r>
      <w:proofErr w:type="spellEnd"/>
      <w:r>
        <w:rPr>
          <w:i/>
        </w:rPr>
        <w:t xml:space="preserve"> [</w:t>
      </w:r>
      <w:proofErr w:type="spellStart"/>
      <w:r>
        <w:rPr>
          <w:i/>
        </w:rPr>
        <w:t>Nutt</w:t>
      </w:r>
      <w:proofErr w:type="spellEnd"/>
      <w:r>
        <w:rPr>
          <w:i/>
        </w:rPr>
        <w:t xml:space="preserve">.] </w:t>
      </w:r>
      <w:proofErr w:type="spellStart"/>
      <w:r>
        <w:rPr>
          <w:i/>
        </w:rPr>
        <w:t>Nees</w:t>
      </w:r>
      <w:proofErr w:type="spellEnd"/>
      <w:r>
        <w:rPr>
          <w:i/>
        </w:rPr>
        <w:t xml:space="preserve">) </w:t>
      </w:r>
    </w:p>
    <w:p w14:paraId="514E8CB5"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sidRPr="000D0400">
        <w:t>Sabine</w:t>
      </w:r>
      <w:r>
        <w:rPr>
          <w:i/>
        </w:rPr>
        <w:t xml:space="preserve"> (</w:t>
      </w:r>
      <w:proofErr w:type="spellStart"/>
      <w:r>
        <w:rPr>
          <w:i/>
        </w:rPr>
        <w:t>Juniperus</w:t>
      </w:r>
      <w:proofErr w:type="spellEnd"/>
      <w:r>
        <w:rPr>
          <w:i/>
        </w:rPr>
        <w:t xml:space="preserve"> </w:t>
      </w:r>
      <w:proofErr w:type="spellStart"/>
      <w:r>
        <w:rPr>
          <w:i/>
        </w:rPr>
        <w:t>sabina</w:t>
      </w:r>
      <w:proofErr w:type="spellEnd"/>
      <w:r>
        <w:rPr>
          <w:i/>
        </w:rPr>
        <w:t xml:space="preserve"> L.) </w:t>
      </w:r>
    </w:p>
    <w:p w14:paraId="4D78DDD6"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sidRPr="000D0400">
        <w:t>Rue</w:t>
      </w:r>
      <w:r>
        <w:rPr>
          <w:i/>
        </w:rPr>
        <w:t xml:space="preserve"> (</w:t>
      </w:r>
      <w:proofErr w:type="spellStart"/>
      <w:r>
        <w:rPr>
          <w:i/>
        </w:rPr>
        <w:t>Ruta</w:t>
      </w:r>
      <w:proofErr w:type="spellEnd"/>
      <w:r>
        <w:rPr>
          <w:i/>
        </w:rPr>
        <w:t xml:space="preserve"> </w:t>
      </w:r>
      <w:proofErr w:type="spellStart"/>
      <w:r>
        <w:rPr>
          <w:i/>
        </w:rPr>
        <w:t>graveolens</w:t>
      </w:r>
      <w:proofErr w:type="spellEnd"/>
      <w:r>
        <w:rPr>
          <w:i/>
        </w:rPr>
        <w:t xml:space="preserve"> L.) </w:t>
      </w:r>
    </w:p>
    <w:p w14:paraId="30E32BAA"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sidRPr="000D0400">
        <w:t>Chénopode vermifuge</w:t>
      </w:r>
      <w:r>
        <w:rPr>
          <w:i/>
        </w:rPr>
        <w:t xml:space="preserve"> (</w:t>
      </w:r>
      <w:proofErr w:type="spellStart"/>
      <w:r>
        <w:rPr>
          <w:i/>
        </w:rPr>
        <w:t>Chenopodium</w:t>
      </w:r>
      <w:proofErr w:type="spellEnd"/>
      <w:r>
        <w:rPr>
          <w:i/>
        </w:rPr>
        <w:t xml:space="preserve"> </w:t>
      </w:r>
      <w:proofErr w:type="spellStart"/>
      <w:r>
        <w:rPr>
          <w:i/>
        </w:rPr>
        <w:t>ambrosioides</w:t>
      </w:r>
      <w:proofErr w:type="spellEnd"/>
      <w:r>
        <w:rPr>
          <w:i/>
        </w:rPr>
        <w:t xml:space="preserve"> L. et </w:t>
      </w:r>
      <w:proofErr w:type="spellStart"/>
      <w:r>
        <w:rPr>
          <w:i/>
        </w:rPr>
        <w:t>Chenopodium</w:t>
      </w:r>
      <w:proofErr w:type="spellEnd"/>
      <w:r>
        <w:rPr>
          <w:i/>
        </w:rPr>
        <w:t xml:space="preserve"> </w:t>
      </w:r>
      <w:proofErr w:type="spellStart"/>
      <w:r>
        <w:rPr>
          <w:i/>
        </w:rPr>
        <w:t>anthelminticum</w:t>
      </w:r>
      <w:proofErr w:type="spellEnd"/>
      <w:r>
        <w:rPr>
          <w:i/>
        </w:rPr>
        <w:t xml:space="preserve"> L.) </w:t>
      </w:r>
    </w:p>
    <w:p w14:paraId="160EF932"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sidRPr="000D0400">
        <w:t>Moutarde jonciforme</w:t>
      </w:r>
      <w:r>
        <w:rPr>
          <w:i/>
        </w:rPr>
        <w:t xml:space="preserve"> (</w:t>
      </w:r>
      <w:proofErr w:type="spellStart"/>
      <w:r>
        <w:rPr>
          <w:i/>
        </w:rPr>
        <w:t>Brassica</w:t>
      </w:r>
      <w:proofErr w:type="spellEnd"/>
      <w:r>
        <w:rPr>
          <w:i/>
        </w:rPr>
        <w:t xml:space="preserve"> </w:t>
      </w:r>
      <w:proofErr w:type="spellStart"/>
      <w:r>
        <w:rPr>
          <w:i/>
        </w:rPr>
        <w:t>juncea</w:t>
      </w:r>
      <w:proofErr w:type="spellEnd"/>
      <w:r>
        <w:rPr>
          <w:i/>
        </w:rPr>
        <w:t xml:space="preserve"> [L.] </w:t>
      </w:r>
      <w:proofErr w:type="spellStart"/>
      <w:r>
        <w:rPr>
          <w:i/>
        </w:rPr>
        <w:t>Czernj</w:t>
      </w:r>
      <w:proofErr w:type="spellEnd"/>
      <w:r>
        <w:rPr>
          <w:i/>
        </w:rPr>
        <w:t xml:space="preserve">. </w:t>
      </w:r>
      <w:proofErr w:type="gramStart"/>
      <w:r>
        <w:rPr>
          <w:i/>
        </w:rPr>
        <w:t>et</w:t>
      </w:r>
      <w:proofErr w:type="gramEnd"/>
      <w:r>
        <w:rPr>
          <w:i/>
        </w:rPr>
        <w:t xml:space="preserve"> Cosson)</w:t>
      </w:r>
    </w:p>
    <w:p w14:paraId="577A9DDF" w14:textId="77777777" w:rsidR="00093347" w:rsidRDefault="00093347">
      <w:pPr>
        <w:rPr>
          <w:b/>
        </w:rPr>
      </w:pPr>
    </w:p>
    <w:p w14:paraId="16076262" w14:textId="77777777" w:rsidR="00093347" w:rsidRDefault="00093347">
      <w:pPr>
        <w:rPr>
          <w:b/>
        </w:rPr>
      </w:pPr>
    </w:p>
    <w:p w14:paraId="3456126F" w14:textId="77777777" w:rsidR="00093347" w:rsidRDefault="000022DE">
      <w:pPr>
        <w:rPr>
          <w:b/>
        </w:rPr>
      </w:pPr>
      <w:r>
        <w:rPr>
          <w:b/>
        </w:rPr>
        <w:t>ANNEXE IV</w:t>
      </w:r>
    </w:p>
    <w:p w14:paraId="650DF514" w14:textId="77777777" w:rsidR="00093347" w:rsidRDefault="00093347">
      <w:pPr>
        <w:pBdr>
          <w:top w:val="nil"/>
          <w:left w:val="nil"/>
          <w:bottom w:val="nil"/>
          <w:right w:val="nil"/>
          <w:between w:val="nil"/>
        </w:pBdr>
        <w:spacing w:after="0"/>
        <w:ind w:left="720"/>
        <w:jc w:val="both"/>
        <w:rPr>
          <w:color w:val="000000"/>
        </w:rPr>
      </w:pPr>
    </w:p>
    <w:p w14:paraId="637FE86A" w14:textId="77777777" w:rsidR="00093347" w:rsidRDefault="000022DE">
      <w:pPr>
        <w:numPr>
          <w:ilvl w:val="0"/>
          <w:numId w:val="3"/>
        </w:numPr>
        <w:pBdr>
          <w:top w:val="nil"/>
          <w:left w:val="nil"/>
          <w:bottom w:val="nil"/>
          <w:right w:val="nil"/>
          <w:between w:val="nil"/>
        </w:pBdr>
        <w:spacing w:after="0"/>
        <w:jc w:val="both"/>
      </w:pPr>
      <w:r>
        <w:rPr>
          <w:color w:val="000000"/>
        </w:rPr>
        <w:t xml:space="preserve">Les 3 monographies </w:t>
      </w:r>
      <w:r>
        <w:rPr>
          <w:b/>
          <w:color w:val="000000"/>
        </w:rPr>
        <w:t>limitent l’usage de ces préparations officinales aux adultes</w:t>
      </w:r>
      <w:r>
        <w:rPr>
          <w:color w:val="000000"/>
        </w:rPr>
        <w:t>. De nombreuses publications montrent pourtant l’intérêt thérapeutique de certaines huiles essentielles chez l’enfant, que ce soit par voie orale, cutanée ou par inhalation. Des usages chez l’enfant sont admis par l’EMA : voir les monographies individuelles des plantes et leur</w:t>
      </w:r>
      <w:r w:rsidR="007411A6">
        <w:rPr>
          <w:color w:val="000000"/>
        </w:rPr>
        <w:t>s</w:t>
      </w:r>
      <w:r>
        <w:rPr>
          <w:color w:val="000000"/>
        </w:rPr>
        <w:t xml:space="preserve"> </w:t>
      </w:r>
      <w:r w:rsidR="005A7BF4">
        <w:rPr>
          <w:color w:val="000000"/>
        </w:rPr>
        <w:t xml:space="preserve">huiles essentielles </w:t>
      </w:r>
      <w:r>
        <w:rPr>
          <w:color w:val="000000"/>
        </w:rPr>
        <w:t xml:space="preserve">du </w:t>
      </w:r>
      <w:proofErr w:type="spellStart"/>
      <w:r>
        <w:rPr>
          <w:i/>
          <w:color w:val="000000"/>
        </w:rPr>
        <w:t>Committee</w:t>
      </w:r>
      <w:proofErr w:type="spellEnd"/>
      <w:r>
        <w:rPr>
          <w:i/>
          <w:color w:val="000000"/>
        </w:rPr>
        <w:t xml:space="preserve"> on </w:t>
      </w:r>
      <w:proofErr w:type="spellStart"/>
      <w:r>
        <w:rPr>
          <w:i/>
          <w:color w:val="000000"/>
        </w:rPr>
        <w:t>Herbal</w:t>
      </w:r>
      <w:proofErr w:type="spellEnd"/>
      <w:r>
        <w:rPr>
          <w:i/>
          <w:color w:val="000000"/>
        </w:rPr>
        <w:t xml:space="preserve"> </w:t>
      </w:r>
      <w:proofErr w:type="spellStart"/>
      <w:r>
        <w:rPr>
          <w:i/>
          <w:color w:val="000000"/>
        </w:rPr>
        <w:t>Medicinal</w:t>
      </w:r>
      <w:proofErr w:type="spellEnd"/>
      <w:r>
        <w:rPr>
          <w:i/>
          <w:color w:val="000000"/>
        </w:rPr>
        <w:t xml:space="preserve"> </w:t>
      </w:r>
      <w:proofErr w:type="spellStart"/>
      <w:r>
        <w:rPr>
          <w:i/>
          <w:color w:val="000000"/>
        </w:rPr>
        <w:t>Products</w:t>
      </w:r>
      <w:proofErr w:type="spellEnd"/>
      <w:r>
        <w:rPr>
          <w:color w:val="000000"/>
        </w:rPr>
        <w:t xml:space="preserve">). Nous proposons de limiter à l’âge </w:t>
      </w:r>
      <w:r w:rsidRPr="000D0400">
        <w:rPr>
          <w:color w:val="000000"/>
        </w:rPr>
        <w:t xml:space="preserve">de </w:t>
      </w:r>
      <w:r w:rsidRPr="000D0400">
        <w:rPr>
          <w:b/>
          <w:color w:val="000000"/>
        </w:rPr>
        <w:t xml:space="preserve">12 ans </w:t>
      </w:r>
      <w:r>
        <w:rPr>
          <w:color w:val="000000"/>
        </w:rPr>
        <w:t>l’utilisation du « </w:t>
      </w:r>
      <w:r w:rsidRPr="000D0400">
        <w:rPr>
          <w:i/>
          <w:color w:val="000000"/>
        </w:rPr>
        <w:t xml:space="preserve">mélanges d’huiles essentielles destinés à la voie </w:t>
      </w:r>
      <w:r w:rsidR="005A7BF4" w:rsidRPr="000D0400">
        <w:rPr>
          <w:i/>
          <w:color w:val="000000"/>
        </w:rPr>
        <w:t>interne pour préparations officinales</w:t>
      </w:r>
      <w:r w:rsidR="005A7BF4">
        <w:rPr>
          <w:color w:val="000000"/>
        </w:rPr>
        <w:t> </w:t>
      </w:r>
      <w:r>
        <w:rPr>
          <w:color w:val="000000"/>
        </w:rPr>
        <w:t>»</w:t>
      </w:r>
      <w:r w:rsidR="00D878F4">
        <w:rPr>
          <w:color w:val="000000"/>
        </w:rPr>
        <w:t xml:space="preserve"> par</w:t>
      </w:r>
      <w:r w:rsidR="0049143F">
        <w:rPr>
          <w:color w:val="000000"/>
        </w:rPr>
        <w:t xml:space="preserve"> voie orale, </w:t>
      </w:r>
      <w:r w:rsidR="00D878F4">
        <w:rPr>
          <w:color w:val="000000"/>
        </w:rPr>
        <w:t>à l’âge de 30 mois par</w:t>
      </w:r>
      <w:r w:rsidR="0049143F">
        <w:rPr>
          <w:color w:val="000000"/>
        </w:rPr>
        <w:t xml:space="preserve"> voie r</w:t>
      </w:r>
      <w:r>
        <w:rPr>
          <w:color w:val="000000"/>
        </w:rPr>
        <w:t>e</w:t>
      </w:r>
      <w:r w:rsidR="0049143F">
        <w:rPr>
          <w:color w:val="000000"/>
        </w:rPr>
        <w:t xml:space="preserve">ctale et aux adultes </w:t>
      </w:r>
      <w:r w:rsidR="00D878F4">
        <w:rPr>
          <w:color w:val="000000"/>
        </w:rPr>
        <w:t>par</w:t>
      </w:r>
      <w:r w:rsidR="0049143F">
        <w:rPr>
          <w:color w:val="000000"/>
        </w:rPr>
        <w:t xml:space="preserve"> voie vaginale</w:t>
      </w:r>
      <w:r>
        <w:rPr>
          <w:color w:val="000000"/>
        </w:rPr>
        <w:t>.</w:t>
      </w:r>
      <w:sdt>
        <w:sdtPr>
          <w:tag w:val="goog_rdk_3"/>
          <w:id w:val="-1967275253"/>
        </w:sdtPr>
        <w:sdtEndPr/>
        <w:sdtContent/>
      </w:sdt>
    </w:p>
    <w:p w14:paraId="3D0416C8" w14:textId="77777777" w:rsidR="00093347" w:rsidRDefault="000022DE" w:rsidP="00F0291B">
      <w:pPr>
        <w:pBdr>
          <w:top w:val="nil"/>
          <w:left w:val="nil"/>
          <w:bottom w:val="nil"/>
          <w:right w:val="nil"/>
          <w:between w:val="nil"/>
        </w:pBdr>
        <w:spacing w:after="0"/>
        <w:ind w:left="360"/>
        <w:jc w:val="both"/>
        <w:rPr>
          <w:color w:val="000000"/>
          <w:highlight w:val="yellow"/>
        </w:rPr>
      </w:pPr>
      <w:r>
        <w:br w:type="page"/>
      </w:r>
    </w:p>
    <w:p w14:paraId="60EABC30" w14:textId="77777777" w:rsidR="00093347" w:rsidRDefault="000022DE">
      <w:pPr>
        <w:jc w:val="center"/>
        <w:rPr>
          <w:b/>
          <w:u w:val="single"/>
        </w:rPr>
      </w:pPr>
      <w:r>
        <w:rPr>
          <w:b/>
          <w:u w:val="single"/>
        </w:rPr>
        <w:lastRenderedPageBreak/>
        <w:t>ARGUMENTAIRE POUR LA CONSULTATION PUBLIQUE DE LA MONOGRAPHIE N° 1282 : MELANGES D’HUILES ESSENTIELLES DESTINÉS À UNE APPLICATION CUTANÉE POUR PRÉPARATIONS OFFICINALES</w:t>
      </w:r>
    </w:p>
    <w:p w14:paraId="28426CDC" w14:textId="77777777" w:rsidR="00093347" w:rsidRDefault="00093347">
      <w:pPr>
        <w:rPr>
          <w:b/>
        </w:rPr>
      </w:pPr>
    </w:p>
    <w:p w14:paraId="1756EB39" w14:textId="77777777" w:rsidR="00093347" w:rsidRDefault="000022DE">
      <w:pPr>
        <w:rPr>
          <w:b/>
        </w:rPr>
      </w:pPr>
      <w:r>
        <w:rPr>
          <w:b/>
        </w:rPr>
        <w:t>CHAPITRE « DEFINITION »</w:t>
      </w:r>
    </w:p>
    <w:p w14:paraId="7C8A9F21" w14:textId="77777777" w:rsidR="00093347" w:rsidRDefault="000022DE">
      <w:pPr>
        <w:numPr>
          <w:ilvl w:val="0"/>
          <w:numId w:val="8"/>
        </w:numPr>
        <w:pBdr>
          <w:top w:val="nil"/>
          <w:left w:val="nil"/>
          <w:bottom w:val="nil"/>
          <w:right w:val="nil"/>
          <w:between w:val="nil"/>
        </w:pBdr>
        <w:spacing w:after="0"/>
        <w:jc w:val="both"/>
      </w:pPr>
      <w:r>
        <w:rPr>
          <w:color w:val="000000"/>
        </w:rPr>
        <w:t xml:space="preserve">Nous proposons une définition plus large de cette monographie pour pouvoir mieux adapter la galénique de cette préparation officinale. A titre d’exemple, la forme gel est souvent adaptée à l’emploi des huiles essentielles pour application cutanée. </w:t>
      </w:r>
    </w:p>
    <w:p w14:paraId="6D07A262" w14:textId="77777777" w:rsidR="00093347" w:rsidRDefault="000022DE">
      <w:pPr>
        <w:numPr>
          <w:ilvl w:val="0"/>
          <w:numId w:val="8"/>
        </w:numPr>
        <w:pBdr>
          <w:top w:val="nil"/>
          <w:left w:val="nil"/>
          <w:bottom w:val="nil"/>
          <w:right w:val="nil"/>
          <w:between w:val="nil"/>
        </w:pBdr>
        <w:spacing w:after="0"/>
        <w:jc w:val="both"/>
      </w:pPr>
      <w:r>
        <w:rPr>
          <w:color w:val="000000"/>
        </w:rPr>
        <w:t>Nous proposons ainsi d’ajouter une référence à la monographie</w:t>
      </w:r>
      <w:r>
        <w:t xml:space="preserve"> </w:t>
      </w:r>
      <w:r w:rsidRPr="00575CCA">
        <w:rPr>
          <w:i/>
        </w:rPr>
        <w:t>Préparations semi-solides pour application cutanée</w:t>
      </w:r>
      <w:r>
        <w:t xml:space="preserve"> (0132) </w:t>
      </w:r>
      <w:r>
        <w:rPr>
          <w:color w:val="000000"/>
        </w:rPr>
        <w:t xml:space="preserve">de la Pharmacopée </w:t>
      </w:r>
      <w:r>
        <w:t>Européenne</w:t>
      </w:r>
      <w:r>
        <w:rPr>
          <w:color w:val="000000"/>
        </w:rPr>
        <w:t xml:space="preserve"> dans le chapitre définition.</w:t>
      </w:r>
    </w:p>
    <w:p w14:paraId="58ED6AEF" w14:textId="77777777" w:rsidR="00093347" w:rsidRDefault="00093347">
      <w:pPr>
        <w:pBdr>
          <w:top w:val="nil"/>
          <w:left w:val="nil"/>
          <w:bottom w:val="nil"/>
          <w:right w:val="nil"/>
          <w:between w:val="nil"/>
        </w:pBdr>
        <w:ind w:left="720"/>
        <w:jc w:val="both"/>
        <w:rPr>
          <w:color w:val="000000"/>
        </w:rPr>
      </w:pPr>
    </w:p>
    <w:p w14:paraId="272C2ADE" w14:textId="77777777" w:rsidR="00093347" w:rsidRDefault="000022DE">
      <w:pPr>
        <w:rPr>
          <w:b/>
        </w:rPr>
      </w:pPr>
      <w:r>
        <w:rPr>
          <w:b/>
        </w:rPr>
        <w:t>CHAPITRE « PRODUCTION »</w:t>
      </w:r>
    </w:p>
    <w:p w14:paraId="64754A88" w14:textId="77777777" w:rsidR="00093347" w:rsidRDefault="000022DE">
      <w:pPr>
        <w:numPr>
          <w:ilvl w:val="0"/>
          <w:numId w:val="1"/>
        </w:numPr>
        <w:pBdr>
          <w:top w:val="nil"/>
          <w:left w:val="nil"/>
          <w:bottom w:val="nil"/>
          <w:right w:val="nil"/>
          <w:between w:val="nil"/>
        </w:pBdr>
        <w:spacing w:after="0"/>
        <w:ind w:left="1068"/>
        <w:jc w:val="both"/>
      </w:pPr>
      <w:r>
        <w:rPr>
          <w:color w:val="000000"/>
        </w:rPr>
        <w:t>Nous proposons afin d’élargir la galénique</w:t>
      </w:r>
      <w:r w:rsidR="007411A6">
        <w:rPr>
          <w:color w:val="000000"/>
        </w:rPr>
        <w:t xml:space="preserve"> avec</w:t>
      </w:r>
      <w:r>
        <w:rPr>
          <w:color w:val="000000"/>
        </w:rPr>
        <w:t xml:space="preserve"> la phrase suivante : la préparation des mélanges d’huiles essentielles destinés à une application cutanée pour préparations officinales est </w:t>
      </w:r>
      <w:proofErr w:type="gramStart"/>
      <w:r>
        <w:rPr>
          <w:color w:val="000000"/>
        </w:rPr>
        <w:t>réalisées</w:t>
      </w:r>
      <w:proofErr w:type="gramEnd"/>
      <w:r>
        <w:rPr>
          <w:color w:val="000000"/>
        </w:rPr>
        <w:t xml:space="preserve"> par un mélange de :</w:t>
      </w:r>
    </w:p>
    <w:p w14:paraId="02B932FB" w14:textId="77777777" w:rsidR="00093347" w:rsidRDefault="000022DE">
      <w:pPr>
        <w:numPr>
          <w:ilvl w:val="1"/>
          <w:numId w:val="1"/>
        </w:numPr>
        <w:pBdr>
          <w:top w:val="nil"/>
          <w:left w:val="nil"/>
          <w:bottom w:val="nil"/>
          <w:right w:val="nil"/>
          <w:between w:val="nil"/>
        </w:pBdr>
        <w:spacing w:after="0"/>
        <w:ind w:left="1788"/>
        <w:jc w:val="both"/>
      </w:pPr>
      <w:r>
        <w:rPr>
          <w:color w:val="000000"/>
        </w:rPr>
        <w:t>Cinq huiles essentielles, considérées comme substances actives (Annexe I), dont un maximum de 3 huiles essentielles cétoniques ;</w:t>
      </w:r>
    </w:p>
    <w:p w14:paraId="15E5660F" w14:textId="77777777" w:rsidR="00093347" w:rsidRDefault="000022DE">
      <w:pPr>
        <w:numPr>
          <w:ilvl w:val="1"/>
          <w:numId w:val="1"/>
        </w:numPr>
        <w:pBdr>
          <w:top w:val="nil"/>
          <w:left w:val="nil"/>
          <w:bottom w:val="nil"/>
          <w:right w:val="nil"/>
          <w:between w:val="nil"/>
        </w:pBdr>
        <w:spacing w:after="0"/>
        <w:ind w:left="1788"/>
        <w:jc w:val="both"/>
      </w:pPr>
      <w:r>
        <w:rPr>
          <w:color w:val="000000"/>
        </w:rPr>
        <w:t>Un véhicule adapté à la voie cutanée qui répond aux exigences des BPP, considéré comme excipient.</w:t>
      </w:r>
    </w:p>
    <w:p w14:paraId="1C88FAA3" w14:textId="77777777" w:rsidR="00093347" w:rsidRDefault="00093347">
      <w:pPr>
        <w:pBdr>
          <w:top w:val="nil"/>
          <w:left w:val="nil"/>
          <w:bottom w:val="nil"/>
          <w:right w:val="nil"/>
          <w:between w:val="nil"/>
        </w:pBdr>
        <w:spacing w:after="0"/>
        <w:ind w:left="1788"/>
        <w:jc w:val="both"/>
        <w:rPr>
          <w:color w:val="000000"/>
        </w:rPr>
      </w:pPr>
    </w:p>
    <w:p w14:paraId="4E03F7A3" w14:textId="77777777" w:rsidR="007411A6" w:rsidRPr="0049143F" w:rsidRDefault="007411A6" w:rsidP="00D878F4">
      <w:pPr>
        <w:numPr>
          <w:ilvl w:val="0"/>
          <w:numId w:val="1"/>
        </w:numPr>
        <w:pBdr>
          <w:top w:val="nil"/>
          <w:left w:val="nil"/>
          <w:bottom w:val="nil"/>
          <w:right w:val="nil"/>
          <w:between w:val="nil"/>
        </w:pBdr>
        <w:spacing w:after="0"/>
        <w:ind w:left="993" w:hanging="284"/>
        <w:jc w:val="both"/>
      </w:pPr>
      <w:r>
        <w:t xml:space="preserve">A propos </w:t>
      </w:r>
      <w:r w:rsidRPr="0049143F">
        <w:t>de la limite à trois huiles essentielles :</w:t>
      </w:r>
    </w:p>
    <w:p w14:paraId="093FF971" w14:textId="77777777" w:rsidR="00093347" w:rsidRDefault="007411A6" w:rsidP="000D0400">
      <w:pPr>
        <w:pBdr>
          <w:top w:val="nil"/>
          <w:left w:val="nil"/>
          <w:bottom w:val="nil"/>
          <w:right w:val="nil"/>
          <w:between w:val="nil"/>
        </w:pBdr>
        <w:spacing w:after="0"/>
        <w:ind w:left="993"/>
        <w:jc w:val="both"/>
      </w:pPr>
      <w:r>
        <w:rPr>
          <w:color w:val="000000"/>
        </w:rPr>
        <w:t>Le</w:t>
      </w:r>
      <w:r w:rsidDel="007411A6">
        <w:rPr>
          <w:color w:val="000000"/>
        </w:rPr>
        <w:t xml:space="preserve"> </w:t>
      </w:r>
      <w:r w:rsidR="000022DE">
        <w:rPr>
          <w:color w:val="000000"/>
        </w:rPr>
        <w:t xml:space="preserve">concept d’effet de synergie, connu dans le domaine de la toxicologie, est de plus en plus étudié et avéré en aromathérapie. Des exemples de synergies de mélanges de composés aromatiques étudiées in vitro et in vivo sont décrits dans l’ouvrage </w:t>
      </w:r>
      <w:r w:rsidR="000022DE" w:rsidRPr="00F0291B">
        <w:rPr>
          <w:i/>
          <w:color w:val="000000"/>
        </w:rPr>
        <w:t xml:space="preserve">Essential </w:t>
      </w:r>
      <w:proofErr w:type="spellStart"/>
      <w:r w:rsidR="000022DE" w:rsidRPr="00F0291B">
        <w:rPr>
          <w:i/>
          <w:color w:val="000000"/>
        </w:rPr>
        <w:t>oil</w:t>
      </w:r>
      <w:proofErr w:type="spellEnd"/>
      <w:r w:rsidR="000022DE" w:rsidRPr="00F0291B">
        <w:rPr>
          <w:i/>
          <w:color w:val="000000"/>
        </w:rPr>
        <w:t xml:space="preserve"> </w:t>
      </w:r>
      <w:proofErr w:type="spellStart"/>
      <w:proofErr w:type="gramStart"/>
      <w:r w:rsidR="000022DE" w:rsidRPr="00F0291B">
        <w:rPr>
          <w:i/>
          <w:color w:val="000000"/>
        </w:rPr>
        <w:t>safety</w:t>
      </w:r>
      <w:proofErr w:type="spellEnd"/>
      <w:r w:rsidR="000022DE">
        <w:rPr>
          <w:color w:val="000000"/>
        </w:rPr>
        <w:t>,  2</w:t>
      </w:r>
      <w:proofErr w:type="gramEnd"/>
      <w:r w:rsidR="000022DE">
        <w:rPr>
          <w:color w:val="000000"/>
        </w:rPr>
        <w:t xml:space="preserve">nd édition, Tisserand and Young, dans le chapitre </w:t>
      </w:r>
      <w:proofErr w:type="spellStart"/>
      <w:r w:rsidR="000022DE">
        <w:rPr>
          <w:color w:val="000000"/>
        </w:rPr>
        <w:t>Toxic</w:t>
      </w:r>
      <w:proofErr w:type="spellEnd"/>
      <w:r w:rsidR="000022DE">
        <w:rPr>
          <w:color w:val="000000"/>
        </w:rPr>
        <w:t xml:space="preserve"> substances.</w:t>
      </w:r>
    </w:p>
    <w:p w14:paraId="765113A1" w14:textId="77777777" w:rsidR="00093347" w:rsidRDefault="000022DE">
      <w:pPr>
        <w:pBdr>
          <w:top w:val="nil"/>
          <w:left w:val="nil"/>
          <w:bottom w:val="nil"/>
          <w:right w:val="nil"/>
          <w:between w:val="nil"/>
        </w:pBdr>
        <w:spacing w:after="0"/>
        <w:ind w:left="1068"/>
        <w:jc w:val="both"/>
        <w:rPr>
          <w:color w:val="000000"/>
        </w:rPr>
      </w:pPr>
      <w:r>
        <w:rPr>
          <w:color w:val="000000"/>
        </w:rPr>
        <w:t>De plus, associer plusieurs huiles essentielles en mélange est une pratique traditionnelle ancrée chez les prescripteurs et utilisateurs d’aromathérapie, pratique que l’on retrouve par ailleurs dans les prescriptions de préparations magistrales.</w:t>
      </w:r>
    </w:p>
    <w:p w14:paraId="1F6AEE71" w14:textId="77777777" w:rsidR="005A7BF4" w:rsidRDefault="000022DE">
      <w:pPr>
        <w:pBdr>
          <w:top w:val="nil"/>
          <w:left w:val="nil"/>
          <w:bottom w:val="nil"/>
          <w:right w:val="nil"/>
          <w:between w:val="nil"/>
        </w:pBdr>
        <w:spacing w:after="0"/>
        <w:ind w:left="1068"/>
        <w:jc w:val="both"/>
        <w:rPr>
          <w:color w:val="000000"/>
        </w:rPr>
      </w:pPr>
      <w:r>
        <w:rPr>
          <w:color w:val="000000"/>
        </w:rPr>
        <w:t xml:space="preserve">Enfin, il existe déjà des médicaments, dispositifs médicaux et compléments alimentaires contenant plus de 3 huiles essentielles (ex : certains produits </w:t>
      </w:r>
      <w:proofErr w:type="spellStart"/>
      <w:r>
        <w:rPr>
          <w:color w:val="000000"/>
        </w:rPr>
        <w:t>Pranarom</w:t>
      </w:r>
      <w:proofErr w:type="spellEnd"/>
      <w:r>
        <w:rPr>
          <w:color w:val="000000"/>
        </w:rPr>
        <w:t xml:space="preserve">). </w:t>
      </w:r>
    </w:p>
    <w:p w14:paraId="644A2EB4" w14:textId="77777777" w:rsidR="005A7BF4" w:rsidRDefault="005A7BF4">
      <w:pPr>
        <w:pBdr>
          <w:top w:val="nil"/>
          <w:left w:val="nil"/>
          <w:bottom w:val="nil"/>
          <w:right w:val="nil"/>
          <w:between w:val="nil"/>
        </w:pBdr>
        <w:spacing w:after="0"/>
        <w:ind w:left="1068"/>
        <w:jc w:val="both"/>
        <w:rPr>
          <w:color w:val="000000"/>
        </w:rPr>
      </w:pPr>
    </w:p>
    <w:p w14:paraId="0CEE9E70" w14:textId="77777777" w:rsidR="00093347" w:rsidRDefault="000022DE">
      <w:pPr>
        <w:pBdr>
          <w:top w:val="nil"/>
          <w:left w:val="nil"/>
          <w:bottom w:val="nil"/>
          <w:right w:val="nil"/>
          <w:between w:val="nil"/>
        </w:pBdr>
        <w:spacing w:after="0"/>
        <w:ind w:left="1068"/>
        <w:jc w:val="both"/>
        <w:rPr>
          <w:color w:val="000000"/>
        </w:rPr>
      </w:pPr>
      <w:r>
        <w:rPr>
          <w:color w:val="000000"/>
        </w:rPr>
        <w:t>Nous proposons donc de porter à cinq le nombre maximal d’huiles essentielles, en limitant à un maximum de 3 huiles essentielles cétoniques dans la même préparation. Ainsi, avec ces limitations quantitatives, associées aux précautions d’usage recensées dans l’annexe IV, la sécurité d’emploi reste assurée.</w:t>
      </w:r>
    </w:p>
    <w:p w14:paraId="3940E982" w14:textId="77777777" w:rsidR="00093347" w:rsidRDefault="00093347">
      <w:pPr>
        <w:pBdr>
          <w:top w:val="nil"/>
          <w:left w:val="nil"/>
          <w:bottom w:val="nil"/>
          <w:right w:val="nil"/>
          <w:between w:val="nil"/>
        </w:pBdr>
        <w:spacing w:after="0"/>
        <w:ind w:left="1068"/>
        <w:jc w:val="both"/>
        <w:rPr>
          <w:color w:val="000000"/>
        </w:rPr>
      </w:pPr>
    </w:p>
    <w:p w14:paraId="0A4AEA42" w14:textId="77777777" w:rsidR="00093347" w:rsidRDefault="000022DE">
      <w:pPr>
        <w:numPr>
          <w:ilvl w:val="0"/>
          <w:numId w:val="1"/>
        </w:numPr>
        <w:pBdr>
          <w:top w:val="nil"/>
          <w:left w:val="nil"/>
          <w:bottom w:val="nil"/>
          <w:right w:val="nil"/>
          <w:between w:val="nil"/>
        </w:pBdr>
        <w:spacing w:after="0"/>
        <w:ind w:left="1068"/>
        <w:jc w:val="both"/>
      </w:pPr>
      <w:r>
        <w:rPr>
          <w:color w:val="000000"/>
        </w:rPr>
        <w:t xml:space="preserve">Nous proposons de supprimer les indications sur le conditionnement en verre de type compte-goutte, pour les remplacer par la mention suivante : les mélanges d’huiles essentielles destinés à une application cutanée pour préparations officinales sont dispensés dans un conditionnement </w:t>
      </w:r>
      <w:r w:rsidRPr="00F0291B">
        <w:rPr>
          <w:color w:val="000000"/>
        </w:rPr>
        <w:t>adapté</w:t>
      </w:r>
      <w:r w:rsidR="000D0400">
        <w:rPr>
          <w:color w:val="000000"/>
        </w:rPr>
        <w:t xml:space="preserve"> répondant </w:t>
      </w:r>
      <w:r w:rsidRPr="00F0291B">
        <w:rPr>
          <w:color w:val="000000"/>
        </w:rPr>
        <w:t>aux</w:t>
      </w:r>
      <w:r>
        <w:rPr>
          <w:color w:val="000000"/>
        </w:rPr>
        <w:t xml:space="preserve"> spécifications de la Pharmacopée. </w:t>
      </w:r>
      <w:sdt>
        <w:sdtPr>
          <w:tag w:val="goog_rdk_4"/>
          <w:id w:val="1253863192"/>
          <w:showingPlcHdr/>
        </w:sdtPr>
        <w:sdtEndPr/>
        <w:sdtContent>
          <w:r w:rsidR="000D0400">
            <w:t xml:space="preserve">     </w:t>
          </w:r>
        </w:sdtContent>
      </w:sdt>
    </w:p>
    <w:p w14:paraId="7709AB22" w14:textId="77777777" w:rsidR="00093347" w:rsidRDefault="00093347">
      <w:pPr>
        <w:pBdr>
          <w:top w:val="nil"/>
          <w:left w:val="nil"/>
          <w:bottom w:val="nil"/>
          <w:right w:val="nil"/>
          <w:between w:val="nil"/>
        </w:pBdr>
        <w:spacing w:after="0"/>
        <w:ind w:left="1068"/>
        <w:rPr>
          <w:color w:val="000000"/>
        </w:rPr>
      </w:pPr>
    </w:p>
    <w:p w14:paraId="48F72A4B" w14:textId="77777777" w:rsidR="00093347" w:rsidRDefault="000022DE" w:rsidP="00983D66">
      <w:pPr>
        <w:numPr>
          <w:ilvl w:val="0"/>
          <w:numId w:val="1"/>
        </w:numPr>
        <w:pBdr>
          <w:top w:val="nil"/>
          <w:left w:val="nil"/>
          <w:bottom w:val="nil"/>
          <w:right w:val="nil"/>
          <w:between w:val="nil"/>
        </w:pBdr>
        <w:spacing w:after="0"/>
        <w:ind w:left="1068"/>
        <w:jc w:val="both"/>
      </w:pPr>
      <w:r>
        <w:rPr>
          <w:color w:val="000000"/>
        </w:rPr>
        <w:t xml:space="preserve">La </w:t>
      </w:r>
      <w:r>
        <w:rPr>
          <w:b/>
          <w:color w:val="000000"/>
        </w:rPr>
        <w:t>taille des lots</w:t>
      </w:r>
      <w:r>
        <w:rPr>
          <w:color w:val="000000"/>
        </w:rPr>
        <w:t xml:space="preserve"> ne devrait pas être limitée par </w:t>
      </w:r>
      <w:r w:rsidR="00DF4292">
        <w:rPr>
          <w:color w:val="000000"/>
        </w:rPr>
        <w:t>cette</w:t>
      </w:r>
      <w:r>
        <w:rPr>
          <w:color w:val="000000"/>
        </w:rPr>
        <w:t xml:space="preserve"> monographie car l’analyse de risque proposée par le texte des nouvelles BPP en enquête publique permettra de dimensionner la taille du lot. Nous pensons que l’appui sur les BPP sur la taille des lots garantira une </w:t>
      </w:r>
      <w:r>
        <w:rPr>
          <w:color w:val="000000"/>
        </w:rPr>
        <w:lastRenderedPageBreak/>
        <w:t xml:space="preserve">meilleure sécurité aux préparations officinales à base d’huiles essentielles. </w:t>
      </w:r>
      <w:r>
        <w:t>Nous suggérons donc la suppression des lignes 38 à 41 de la monographie 1282.</w:t>
      </w:r>
    </w:p>
    <w:p w14:paraId="4D1E4B4C" w14:textId="77777777" w:rsidR="00093347" w:rsidRDefault="00093347">
      <w:pPr>
        <w:rPr>
          <w:b/>
        </w:rPr>
      </w:pPr>
    </w:p>
    <w:p w14:paraId="1E3B8A76" w14:textId="77777777" w:rsidR="00093347" w:rsidRDefault="000022DE">
      <w:pPr>
        <w:rPr>
          <w:b/>
        </w:rPr>
      </w:pPr>
      <w:r>
        <w:rPr>
          <w:b/>
        </w:rPr>
        <w:t>CHAPITRE « CONTRÔLE DE LA QUALITÉ »</w:t>
      </w:r>
    </w:p>
    <w:p w14:paraId="6D3BA143" w14:textId="77777777" w:rsidR="00093347" w:rsidRDefault="000022DE">
      <w:pPr>
        <w:jc w:val="both"/>
      </w:pPr>
      <w:r>
        <w:t>Contrôle de la préparation terminée :</w:t>
      </w:r>
    </w:p>
    <w:p w14:paraId="23A683B9" w14:textId="77777777" w:rsidR="00093347" w:rsidRDefault="000022DE">
      <w:pPr>
        <w:numPr>
          <w:ilvl w:val="0"/>
          <w:numId w:val="3"/>
        </w:numPr>
        <w:jc w:val="both"/>
        <w:rPr>
          <w:b/>
        </w:rPr>
      </w:pPr>
      <w:proofErr w:type="gramStart"/>
      <w:r>
        <w:t>paragraphe</w:t>
      </w:r>
      <w:proofErr w:type="gramEnd"/>
      <w:r>
        <w:t xml:space="preserve"> B. Identification et paragraphe C. Dosage :</w:t>
      </w:r>
    </w:p>
    <w:p w14:paraId="461817C3" w14:textId="77777777" w:rsidR="00093347" w:rsidRDefault="000022DE">
      <w:pPr>
        <w:ind w:left="720"/>
        <w:jc w:val="both"/>
      </w:pPr>
      <w:r>
        <w:t>Dans le cas où la préparation officinale contient plusieurs huiles essentielles dont les méthodes de dosage par CPG dans leurs monographies respectives sont différentes en termes de conditions chromatographiques, quelle méthode CPG doit être mise en œuvre pour le contrôle de la préparation ?</w:t>
      </w:r>
    </w:p>
    <w:p w14:paraId="25547F97" w14:textId="77777777" w:rsidR="00093347" w:rsidRDefault="000022DE">
      <w:pPr>
        <w:ind w:left="720"/>
        <w:jc w:val="both"/>
        <w:rPr>
          <w:b/>
        </w:rPr>
      </w:pPr>
      <w:r>
        <w:t>Et comment procéder pour l’adaptation du mode de préparation des échantillons à injecter, compte tenu du fait que des excipients, huileux ou autre, ont été ajoutés pour réaliser la préparation ?</w:t>
      </w:r>
    </w:p>
    <w:p w14:paraId="35AF7EFA" w14:textId="77777777" w:rsidR="00703EC5" w:rsidRDefault="00703EC5" w:rsidP="00703EC5">
      <w:pPr>
        <w:jc w:val="both"/>
        <w:rPr>
          <w:b/>
        </w:rPr>
      </w:pPr>
    </w:p>
    <w:p w14:paraId="28A6FC5C" w14:textId="77777777" w:rsidR="00703EC5" w:rsidRDefault="00703EC5" w:rsidP="00703EC5">
      <w:pPr>
        <w:jc w:val="both"/>
        <w:rPr>
          <w:b/>
        </w:rPr>
      </w:pPr>
      <w:r>
        <w:rPr>
          <w:b/>
        </w:rPr>
        <w:t>CHAPITRE « CONSERVATION »</w:t>
      </w:r>
    </w:p>
    <w:p w14:paraId="292C3076" w14:textId="77777777" w:rsidR="00703EC5" w:rsidRDefault="00703EC5" w:rsidP="00703EC5">
      <w:pPr>
        <w:numPr>
          <w:ilvl w:val="0"/>
          <w:numId w:val="3"/>
        </w:numPr>
        <w:pBdr>
          <w:top w:val="nil"/>
          <w:left w:val="nil"/>
          <w:bottom w:val="nil"/>
          <w:right w:val="nil"/>
          <w:between w:val="nil"/>
        </w:pBdr>
        <w:spacing w:after="0"/>
        <w:jc w:val="both"/>
      </w:pPr>
      <w:r>
        <w:rPr>
          <w:color w:val="000000"/>
        </w:rPr>
        <w:t xml:space="preserve">Nous proposons la modification suivante : la péremption des préparations terminées est </w:t>
      </w:r>
      <w:proofErr w:type="gramStart"/>
      <w:r>
        <w:rPr>
          <w:color w:val="000000"/>
        </w:rPr>
        <w:t>de un</w:t>
      </w:r>
      <w:proofErr w:type="gramEnd"/>
      <w:r>
        <w:rPr>
          <w:color w:val="000000"/>
        </w:rPr>
        <w:t xml:space="preserve"> mois en l’absence de données de stabilité du mélange et doit être déterminée en fonction des critères définis dans les BPP en vigueur. </w:t>
      </w:r>
    </w:p>
    <w:p w14:paraId="1F4BECF2" w14:textId="77777777" w:rsidR="00703EC5" w:rsidRDefault="00703EC5" w:rsidP="00703EC5">
      <w:pPr>
        <w:pBdr>
          <w:top w:val="nil"/>
          <w:left w:val="nil"/>
          <w:bottom w:val="nil"/>
          <w:right w:val="nil"/>
          <w:between w:val="nil"/>
        </w:pBdr>
        <w:spacing w:after="0"/>
        <w:jc w:val="both"/>
        <w:rPr>
          <w:color w:val="000000"/>
        </w:rPr>
      </w:pPr>
    </w:p>
    <w:p w14:paraId="3ECDBDBB" w14:textId="77777777" w:rsidR="00093347" w:rsidRDefault="00093347">
      <w:pPr>
        <w:spacing w:after="0"/>
        <w:rPr>
          <w:b/>
        </w:rPr>
      </w:pPr>
    </w:p>
    <w:p w14:paraId="75F48326" w14:textId="77777777" w:rsidR="00093347" w:rsidRDefault="000022DE">
      <w:pPr>
        <w:pBdr>
          <w:top w:val="nil"/>
          <w:left w:val="nil"/>
          <w:bottom w:val="nil"/>
          <w:right w:val="nil"/>
          <w:between w:val="nil"/>
        </w:pBdr>
        <w:spacing w:after="0"/>
        <w:rPr>
          <w:b/>
          <w:color w:val="000000"/>
        </w:rPr>
      </w:pPr>
      <w:r>
        <w:rPr>
          <w:b/>
          <w:color w:val="000000"/>
        </w:rPr>
        <w:t>ANNEXE I</w:t>
      </w:r>
    </w:p>
    <w:p w14:paraId="40584F4D" w14:textId="77777777" w:rsidR="00093347" w:rsidRDefault="00093347">
      <w:pPr>
        <w:pBdr>
          <w:top w:val="nil"/>
          <w:left w:val="nil"/>
          <w:bottom w:val="nil"/>
          <w:right w:val="nil"/>
          <w:between w:val="nil"/>
        </w:pBdr>
        <w:spacing w:after="0"/>
        <w:ind w:left="720"/>
        <w:jc w:val="both"/>
        <w:rPr>
          <w:b/>
          <w:color w:val="000000"/>
        </w:rPr>
      </w:pPr>
    </w:p>
    <w:p w14:paraId="16E7189D" w14:textId="77777777" w:rsidR="00093347" w:rsidRDefault="000022DE" w:rsidP="00F0291B">
      <w:pPr>
        <w:numPr>
          <w:ilvl w:val="0"/>
          <w:numId w:val="3"/>
        </w:numPr>
        <w:pBdr>
          <w:top w:val="nil"/>
          <w:left w:val="nil"/>
          <w:bottom w:val="nil"/>
          <w:right w:val="nil"/>
          <w:between w:val="nil"/>
        </w:pBdr>
        <w:spacing w:after="0"/>
        <w:jc w:val="both"/>
      </w:pPr>
      <w:r>
        <w:rPr>
          <w:color w:val="000000"/>
        </w:rPr>
        <w:t xml:space="preserve">Nous proposons </w:t>
      </w:r>
      <w:r w:rsidR="00954A56">
        <w:rPr>
          <w:color w:val="000000"/>
        </w:rPr>
        <w:t xml:space="preserve">que la liste soit plutôt </w:t>
      </w:r>
      <w:r>
        <w:rPr>
          <w:color w:val="000000"/>
        </w:rPr>
        <w:t>une liste d’huiles essentielles qui seraient interdites dans les préparations officinales en raison d’une difficulté de maniabilité et de dangerosité de ces dernières. Les huiles essentielles non mentionnées dans cette liste pourraient être utilisées dans le cadre de cette monographie en lien avec les BPP en vigueur.</w:t>
      </w:r>
    </w:p>
    <w:p w14:paraId="3AA7F822" w14:textId="77777777" w:rsidR="00093347" w:rsidRDefault="00093347">
      <w:pPr>
        <w:pBdr>
          <w:top w:val="nil"/>
          <w:left w:val="nil"/>
          <w:bottom w:val="nil"/>
          <w:right w:val="nil"/>
          <w:between w:val="nil"/>
        </w:pBdr>
        <w:spacing w:after="0"/>
        <w:ind w:left="720"/>
        <w:rPr>
          <w:color w:val="000000"/>
        </w:rPr>
      </w:pPr>
    </w:p>
    <w:p w14:paraId="58E6F390" w14:textId="77777777" w:rsidR="00093347" w:rsidRDefault="000022DE">
      <w:pPr>
        <w:pBdr>
          <w:top w:val="nil"/>
          <w:left w:val="nil"/>
          <w:bottom w:val="nil"/>
          <w:right w:val="nil"/>
          <w:between w:val="nil"/>
        </w:pBdr>
        <w:spacing w:after="0"/>
        <w:ind w:left="720"/>
        <w:rPr>
          <w:b/>
          <w:i/>
          <w:color w:val="000000"/>
        </w:rPr>
      </w:pPr>
      <w:r>
        <w:rPr>
          <w:b/>
          <w:color w:val="000000"/>
        </w:rPr>
        <w:t xml:space="preserve">Listes des huiles essentielles interdites dans les </w:t>
      </w:r>
      <w:r>
        <w:rPr>
          <w:b/>
          <w:i/>
          <w:color w:val="000000"/>
        </w:rPr>
        <w:t>Mélanges d’huiles essentielles destinés à une application cutanée pour préparations officinales.</w:t>
      </w:r>
    </w:p>
    <w:p w14:paraId="2F1AB288" w14:textId="77777777" w:rsidR="00093347" w:rsidRDefault="00093347">
      <w:pPr>
        <w:jc w:val="both"/>
        <w:rPr>
          <w:i/>
        </w:rPr>
      </w:pPr>
    </w:p>
    <w:p w14:paraId="2E3FCF5E" w14:textId="77777777" w:rsidR="00093347" w:rsidRDefault="000022DE">
      <w:pPr>
        <w:jc w:val="both"/>
        <w:rPr>
          <w:i/>
        </w:rPr>
      </w:pPr>
      <w:r>
        <w:rPr>
          <w:i/>
        </w:rPr>
        <w:t xml:space="preserve">Selon le décret 2007-1198 du 3 Août 2007 (neurotoxique, irritante, </w:t>
      </w:r>
      <w:proofErr w:type="spellStart"/>
      <w:r>
        <w:rPr>
          <w:i/>
        </w:rPr>
        <w:t>phototoxique</w:t>
      </w:r>
      <w:proofErr w:type="spellEnd"/>
      <w:r>
        <w:rPr>
          <w:i/>
        </w:rPr>
        <w:t xml:space="preserve"> ou cancérigène) :</w:t>
      </w:r>
    </w:p>
    <w:p w14:paraId="61031952"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 xml:space="preserve">Grande absinthe (Artemisia </w:t>
      </w:r>
      <w:proofErr w:type="spellStart"/>
      <w:r>
        <w:rPr>
          <w:i/>
        </w:rPr>
        <w:t>absinthium</w:t>
      </w:r>
      <w:proofErr w:type="spellEnd"/>
      <w:r>
        <w:rPr>
          <w:i/>
        </w:rPr>
        <w:t xml:space="preserve"> L.) </w:t>
      </w:r>
    </w:p>
    <w:p w14:paraId="4EEF4644"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 xml:space="preserve">Petite absinthe (Artemisia </w:t>
      </w:r>
      <w:proofErr w:type="spellStart"/>
      <w:r>
        <w:rPr>
          <w:i/>
        </w:rPr>
        <w:t>pontica</w:t>
      </w:r>
      <w:proofErr w:type="spellEnd"/>
      <w:r>
        <w:rPr>
          <w:i/>
        </w:rPr>
        <w:t xml:space="preserve"> L.) </w:t>
      </w:r>
    </w:p>
    <w:p w14:paraId="4C67729F"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 xml:space="preserve">Armoise commune (Artemisia vulgaris L.) </w:t>
      </w:r>
    </w:p>
    <w:p w14:paraId="37A52863"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 xml:space="preserve">Armoise blanche (Artemisia herba alba Asso) </w:t>
      </w:r>
    </w:p>
    <w:p w14:paraId="560B23A6"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 xml:space="preserve">Armoise arborescente (Artemisia </w:t>
      </w:r>
      <w:proofErr w:type="spellStart"/>
      <w:r>
        <w:rPr>
          <w:i/>
        </w:rPr>
        <w:t>arborescens</w:t>
      </w:r>
      <w:proofErr w:type="spellEnd"/>
      <w:r>
        <w:rPr>
          <w:i/>
        </w:rPr>
        <w:t xml:space="preserve"> L.) </w:t>
      </w:r>
    </w:p>
    <w:p w14:paraId="04636E4D"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 xml:space="preserve">Thuya du Canada ou cèdre blanc (Thuya occidentalis L.) et cèdre de Corée (Thuya </w:t>
      </w:r>
      <w:proofErr w:type="spellStart"/>
      <w:r>
        <w:rPr>
          <w:i/>
        </w:rPr>
        <w:t>Koraenensis</w:t>
      </w:r>
      <w:proofErr w:type="spellEnd"/>
      <w:r>
        <w:rPr>
          <w:i/>
        </w:rPr>
        <w:t xml:space="preserve"> </w:t>
      </w:r>
      <w:proofErr w:type="spellStart"/>
      <w:r>
        <w:rPr>
          <w:i/>
        </w:rPr>
        <w:t>Nakai</w:t>
      </w:r>
      <w:proofErr w:type="spellEnd"/>
      <w:r>
        <w:rPr>
          <w:i/>
        </w:rPr>
        <w:t>), dits "cèdre feuille</w:t>
      </w:r>
    </w:p>
    <w:p w14:paraId="758B2F06"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lastRenderedPageBreak/>
        <w:t>Hysope (</w:t>
      </w:r>
      <w:proofErr w:type="spellStart"/>
      <w:r>
        <w:rPr>
          <w:i/>
        </w:rPr>
        <w:t>Hyssopus</w:t>
      </w:r>
      <w:proofErr w:type="spellEnd"/>
      <w:r>
        <w:rPr>
          <w:i/>
        </w:rPr>
        <w:t xml:space="preserve"> </w:t>
      </w:r>
      <w:proofErr w:type="spellStart"/>
      <w:r>
        <w:rPr>
          <w:i/>
        </w:rPr>
        <w:t>officinalis</w:t>
      </w:r>
      <w:proofErr w:type="spellEnd"/>
      <w:r>
        <w:rPr>
          <w:i/>
        </w:rPr>
        <w:t xml:space="preserve"> L.) </w:t>
      </w:r>
    </w:p>
    <w:p w14:paraId="7797FC14"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 xml:space="preserve">Sauge officinale (Salvia </w:t>
      </w:r>
      <w:proofErr w:type="spellStart"/>
      <w:r>
        <w:rPr>
          <w:i/>
        </w:rPr>
        <w:t>officinalis</w:t>
      </w:r>
      <w:proofErr w:type="spellEnd"/>
      <w:r>
        <w:rPr>
          <w:i/>
        </w:rPr>
        <w:t xml:space="preserve"> L.)</w:t>
      </w:r>
    </w:p>
    <w:p w14:paraId="1CAE71B2"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Tanaisie (</w:t>
      </w:r>
      <w:proofErr w:type="spellStart"/>
      <w:r>
        <w:rPr>
          <w:i/>
        </w:rPr>
        <w:t>Tanacetum</w:t>
      </w:r>
      <w:proofErr w:type="spellEnd"/>
      <w:r>
        <w:rPr>
          <w:i/>
        </w:rPr>
        <w:t xml:space="preserve"> </w:t>
      </w:r>
      <w:proofErr w:type="spellStart"/>
      <w:r>
        <w:rPr>
          <w:i/>
        </w:rPr>
        <w:t>vulgare</w:t>
      </w:r>
      <w:proofErr w:type="spellEnd"/>
      <w:r>
        <w:rPr>
          <w:i/>
        </w:rPr>
        <w:t xml:space="preserve"> L.)</w:t>
      </w:r>
    </w:p>
    <w:p w14:paraId="6B4C78D4"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 xml:space="preserve">Thuya (Thuya </w:t>
      </w:r>
      <w:proofErr w:type="spellStart"/>
      <w:r>
        <w:rPr>
          <w:i/>
        </w:rPr>
        <w:t>plicata</w:t>
      </w:r>
      <w:proofErr w:type="spellEnd"/>
      <w:r>
        <w:rPr>
          <w:i/>
        </w:rPr>
        <w:t xml:space="preserve"> </w:t>
      </w:r>
      <w:proofErr w:type="spellStart"/>
      <w:r>
        <w:rPr>
          <w:i/>
        </w:rPr>
        <w:t>Donn</w:t>
      </w:r>
      <w:proofErr w:type="spellEnd"/>
      <w:r>
        <w:rPr>
          <w:i/>
        </w:rPr>
        <w:t xml:space="preserve"> ex D. Don.) </w:t>
      </w:r>
    </w:p>
    <w:p w14:paraId="6FC43B93"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 xml:space="preserve">Sassafras (Sassafras </w:t>
      </w:r>
      <w:proofErr w:type="spellStart"/>
      <w:r>
        <w:rPr>
          <w:i/>
        </w:rPr>
        <w:t>albidum</w:t>
      </w:r>
      <w:proofErr w:type="spellEnd"/>
      <w:r>
        <w:rPr>
          <w:i/>
        </w:rPr>
        <w:t xml:space="preserve"> [</w:t>
      </w:r>
      <w:proofErr w:type="spellStart"/>
      <w:r>
        <w:rPr>
          <w:i/>
        </w:rPr>
        <w:t>Nutt</w:t>
      </w:r>
      <w:proofErr w:type="spellEnd"/>
      <w:r>
        <w:rPr>
          <w:i/>
        </w:rPr>
        <w:t xml:space="preserve">.] </w:t>
      </w:r>
      <w:proofErr w:type="spellStart"/>
      <w:r>
        <w:rPr>
          <w:i/>
        </w:rPr>
        <w:t>Nees</w:t>
      </w:r>
      <w:proofErr w:type="spellEnd"/>
      <w:r>
        <w:rPr>
          <w:i/>
        </w:rPr>
        <w:t xml:space="preserve">) </w:t>
      </w:r>
    </w:p>
    <w:p w14:paraId="562E593B"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Sabine (</w:t>
      </w:r>
      <w:proofErr w:type="spellStart"/>
      <w:r>
        <w:rPr>
          <w:i/>
        </w:rPr>
        <w:t>Juniperus</w:t>
      </w:r>
      <w:proofErr w:type="spellEnd"/>
      <w:r>
        <w:rPr>
          <w:i/>
        </w:rPr>
        <w:t xml:space="preserve"> </w:t>
      </w:r>
      <w:proofErr w:type="spellStart"/>
      <w:r>
        <w:rPr>
          <w:i/>
        </w:rPr>
        <w:t>sabina</w:t>
      </w:r>
      <w:proofErr w:type="spellEnd"/>
      <w:r>
        <w:rPr>
          <w:i/>
        </w:rPr>
        <w:t xml:space="preserve"> L.) </w:t>
      </w:r>
    </w:p>
    <w:p w14:paraId="4B221CC0"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Rue (</w:t>
      </w:r>
      <w:proofErr w:type="spellStart"/>
      <w:r>
        <w:rPr>
          <w:i/>
        </w:rPr>
        <w:t>Ruta</w:t>
      </w:r>
      <w:proofErr w:type="spellEnd"/>
      <w:r>
        <w:rPr>
          <w:i/>
        </w:rPr>
        <w:t xml:space="preserve"> </w:t>
      </w:r>
      <w:proofErr w:type="spellStart"/>
      <w:r>
        <w:rPr>
          <w:i/>
        </w:rPr>
        <w:t>graveolens</w:t>
      </w:r>
      <w:proofErr w:type="spellEnd"/>
      <w:r>
        <w:rPr>
          <w:i/>
        </w:rPr>
        <w:t xml:space="preserve"> L.) </w:t>
      </w:r>
    </w:p>
    <w:p w14:paraId="76B5D64D"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Chénopode vermifuge (</w:t>
      </w:r>
      <w:proofErr w:type="spellStart"/>
      <w:r>
        <w:rPr>
          <w:i/>
        </w:rPr>
        <w:t>Chenopodium</w:t>
      </w:r>
      <w:proofErr w:type="spellEnd"/>
      <w:r>
        <w:rPr>
          <w:i/>
        </w:rPr>
        <w:t xml:space="preserve"> </w:t>
      </w:r>
      <w:proofErr w:type="spellStart"/>
      <w:r>
        <w:rPr>
          <w:i/>
        </w:rPr>
        <w:t>ambrosioides</w:t>
      </w:r>
      <w:proofErr w:type="spellEnd"/>
      <w:r>
        <w:rPr>
          <w:i/>
        </w:rPr>
        <w:t xml:space="preserve"> L. et </w:t>
      </w:r>
      <w:proofErr w:type="spellStart"/>
      <w:r>
        <w:rPr>
          <w:i/>
        </w:rPr>
        <w:t>Chenopodium</w:t>
      </w:r>
      <w:proofErr w:type="spellEnd"/>
      <w:r>
        <w:rPr>
          <w:i/>
        </w:rPr>
        <w:t xml:space="preserve"> </w:t>
      </w:r>
      <w:proofErr w:type="spellStart"/>
      <w:r>
        <w:rPr>
          <w:i/>
        </w:rPr>
        <w:t>anthelminticum</w:t>
      </w:r>
      <w:proofErr w:type="spellEnd"/>
      <w:r>
        <w:rPr>
          <w:i/>
        </w:rPr>
        <w:t xml:space="preserve"> L.) </w:t>
      </w:r>
    </w:p>
    <w:p w14:paraId="38EB3F09"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Moutarde jonciforme (</w:t>
      </w:r>
      <w:proofErr w:type="spellStart"/>
      <w:r>
        <w:rPr>
          <w:i/>
        </w:rPr>
        <w:t>Brassica</w:t>
      </w:r>
      <w:proofErr w:type="spellEnd"/>
      <w:r>
        <w:rPr>
          <w:i/>
        </w:rPr>
        <w:t xml:space="preserve"> </w:t>
      </w:r>
      <w:proofErr w:type="spellStart"/>
      <w:r>
        <w:rPr>
          <w:i/>
        </w:rPr>
        <w:t>juncea</w:t>
      </w:r>
      <w:proofErr w:type="spellEnd"/>
      <w:r>
        <w:rPr>
          <w:i/>
        </w:rPr>
        <w:t xml:space="preserve"> [L.] </w:t>
      </w:r>
      <w:proofErr w:type="spellStart"/>
      <w:r>
        <w:rPr>
          <w:i/>
        </w:rPr>
        <w:t>Czernj</w:t>
      </w:r>
      <w:proofErr w:type="spellEnd"/>
      <w:r>
        <w:rPr>
          <w:i/>
        </w:rPr>
        <w:t xml:space="preserve">. </w:t>
      </w:r>
      <w:proofErr w:type="gramStart"/>
      <w:r>
        <w:rPr>
          <w:i/>
        </w:rPr>
        <w:t>et</w:t>
      </w:r>
      <w:proofErr w:type="gramEnd"/>
      <w:r>
        <w:rPr>
          <w:i/>
        </w:rPr>
        <w:t xml:space="preserve"> Cosson)</w:t>
      </w:r>
    </w:p>
    <w:p w14:paraId="33DE07E0" w14:textId="77777777" w:rsidR="00093347" w:rsidRDefault="00093347">
      <w:pPr>
        <w:pBdr>
          <w:top w:val="nil"/>
          <w:left w:val="nil"/>
          <w:bottom w:val="nil"/>
          <w:right w:val="nil"/>
          <w:between w:val="nil"/>
        </w:pBdr>
        <w:spacing w:after="0"/>
        <w:jc w:val="both"/>
        <w:rPr>
          <w:color w:val="000000"/>
        </w:rPr>
      </w:pPr>
    </w:p>
    <w:p w14:paraId="67E0DA6A" w14:textId="77777777" w:rsidR="00093347" w:rsidRDefault="000022DE">
      <w:pPr>
        <w:pBdr>
          <w:top w:val="nil"/>
          <w:left w:val="nil"/>
          <w:bottom w:val="nil"/>
          <w:right w:val="nil"/>
          <w:between w:val="nil"/>
        </w:pBdr>
        <w:spacing w:after="0"/>
        <w:jc w:val="both"/>
        <w:rPr>
          <w:b/>
          <w:color w:val="000000"/>
        </w:rPr>
      </w:pPr>
      <w:r>
        <w:rPr>
          <w:b/>
          <w:color w:val="000000"/>
        </w:rPr>
        <w:t>ANNEXE II</w:t>
      </w:r>
    </w:p>
    <w:p w14:paraId="3827FDA2" w14:textId="77777777" w:rsidR="00093347" w:rsidRDefault="00093347">
      <w:pPr>
        <w:pBdr>
          <w:top w:val="nil"/>
          <w:left w:val="nil"/>
          <w:bottom w:val="nil"/>
          <w:right w:val="nil"/>
          <w:between w:val="nil"/>
        </w:pBdr>
        <w:spacing w:after="0"/>
        <w:jc w:val="both"/>
        <w:rPr>
          <w:b/>
          <w:color w:val="000000"/>
        </w:rPr>
      </w:pPr>
    </w:p>
    <w:p w14:paraId="713A039E" w14:textId="77777777" w:rsidR="00093347" w:rsidRDefault="000022DE">
      <w:pPr>
        <w:numPr>
          <w:ilvl w:val="0"/>
          <w:numId w:val="3"/>
        </w:numPr>
        <w:pBdr>
          <w:top w:val="nil"/>
          <w:left w:val="nil"/>
          <w:bottom w:val="nil"/>
          <w:right w:val="nil"/>
          <w:between w:val="nil"/>
        </w:pBdr>
        <w:spacing w:after="0"/>
        <w:jc w:val="both"/>
        <w:rPr>
          <w:color w:val="000000"/>
        </w:rPr>
      </w:pPr>
      <w:r>
        <w:rPr>
          <w:color w:val="000000"/>
        </w:rPr>
        <w:t>Nous proposons la suppression de cette annexe.</w:t>
      </w:r>
    </w:p>
    <w:p w14:paraId="59A9C772" w14:textId="77777777" w:rsidR="00093347" w:rsidRDefault="00093347" w:rsidP="000D0400">
      <w:pPr>
        <w:pBdr>
          <w:top w:val="nil"/>
          <w:left w:val="nil"/>
          <w:bottom w:val="nil"/>
          <w:right w:val="nil"/>
          <w:between w:val="nil"/>
        </w:pBdr>
        <w:spacing w:after="0"/>
        <w:jc w:val="both"/>
        <w:rPr>
          <w:color w:val="000000"/>
          <w:highlight w:val="yellow"/>
        </w:rPr>
      </w:pPr>
    </w:p>
    <w:p w14:paraId="615554C7" w14:textId="77777777" w:rsidR="00093347" w:rsidRDefault="00093347">
      <w:pPr>
        <w:jc w:val="both"/>
        <w:rPr>
          <w:b/>
        </w:rPr>
      </w:pPr>
    </w:p>
    <w:p w14:paraId="21A23382" w14:textId="77777777" w:rsidR="00093347" w:rsidRDefault="000022DE">
      <w:pPr>
        <w:jc w:val="both"/>
        <w:rPr>
          <w:b/>
        </w:rPr>
      </w:pPr>
      <w:r>
        <w:rPr>
          <w:b/>
        </w:rPr>
        <w:t>ANNEXE V</w:t>
      </w:r>
    </w:p>
    <w:p w14:paraId="669EB434" w14:textId="77777777" w:rsidR="00093347" w:rsidRDefault="000022DE">
      <w:pPr>
        <w:numPr>
          <w:ilvl w:val="0"/>
          <w:numId w:val="3"/>
        </w:numPr>
        <w:pBdr>
          <w:top w:val="nil"/>
          <w:left w:val="nil"/>
          <w:bottom w:val="nil"/>
          <w:right w:val="nil"/>
          <w:between w:val="nil"/>
        </w:pBdr>
        <w:jc w:val="both"/>
      </w:pPr>
      <w:r>
        <w:rPr>
          <w:color w:val="000000"/>
        </w:rPr>
        <w:t xml:space="preserve">Les 3 monographies </w:t>
      </w:r>
      <w:r>
        <w:rPr>
          <w:b/>
          <w:color w:val="000000"/>
        </w:rPr>
        <w:t>limitent l’usage de ces préparations officinales aux adultes</w:t>
      </w:r>
      <w:r>
        <w:rPr>
          <w:color w:val="000000"/>
        </w:rPr>
        <w:t>. De nombreuses publications montrent pourtant l’intérêt thérapeutique de certaines huiles essentielles chez l’enfant, que ce soit par voie orale, cutanée ou par inhalation. Des usages chez l’enfant sont admis par l’EMA : voir les monographies individuelles des plantes et leur</w:t>
      </w:r>
      <w:r w:rsidR="007411A6">
        <w:rPr>
          <w:color w:val="000000"/>
        </w:rPr>
        <w:t>s huiles essentielles</w:t>
      </w:r>
      <w:r>
        <w:rPr>
          <w:color w:val="000000"/>
        </w:rPr>
        <w:t xml:space="preserve"> du </w:t>
      </w:r>
      <w:proofErr w:type="spellStart"/>
      <w:r>
        <w:rPr>
          <w:i/>
          <w:color w:val="000000"/>
        </w:rPr>
        <w:t>Committee</w:t>
      </w:r>
      <w:proofErr w:type="spellEnd"/>
      <w:r>
        <w:rPr>
          <w:i/>
          <w:color w:val="000000"/>
        </w:rPr>
        <w:t xml:space="preserve"> on </w:t>
      </w:r>
      <w:proofErr w:type="spellStart"/>
      <w:r>
        <w:rPr>
          <w:i/>
          <w:color w:val="000000"/>
        </w:rPr>
        <w:t>Herbal</w:t>
      </w:r>
      <w:proofErr w:type="spellEnd"/>
      <w:r>
        <w:rPr>
          <w:i/>
          <w:color w:val="000000"/>
        </w:rPr>
        <w:t xml:space="preserve"> </w:t>
      </w:r>
      <w:proofErr w:type="spellStart"/>
      <w:r>
        <w:rPr>
          <w:i/>
          <w:color w:val="000000"/>
        </w:rPr>
        <w:t>Medicinal</w:t>
      </w:r>
      <w:proofErr w:type="spellEnd"/>
      <w:r>
        <w:rPr>
          <w:i/>
          <w:color w:val="000000"/>
        </w:rPr>
        <w:t xml:space="preserve"> </w:t>
      </w:r>
      <w:proofErr w:type="spellStart"/>
      <w:r>
        <w:rPr>
          <w:i/>
          <w:color w:val="000000"/>
        </w:rPr>
        <w:t>Products</w:t>
      </w:r>
      <w:proofErr w:type="spellEnd"/>
      <w:r>
        <w:rPr>
          <w:color w:val="000000"/>
        </w:rPr>
        <w:t xml:space="preserve">). Nous proposons de limiter à </w:t>
      </w:r>
      <w:r>
        <w:rPr>
          <w:b/>
          <w:color w:val="000000"/>
        </w:rPr>
        <w:t>l’âge de 7 ans</w:t>
      </w:r>
      <w:r>
        <w:rPr>
          <w:color w:val="000000"/>
        </w:rPr>
        <w:t xml:space="preserve"> l’utilisation </w:t>
      </w:r>
      <w:proofErr w:type="gramStart"/>
      <w:r>
        <w:rPr>
          <w:color w:val="000000"/>
        </w:rPr>
        <w:t xml:space="preserve">du </w:t>
      </w:r>
      <w:r w:rsidRPr="000D0400">
        <w:rPr>
          <w:i/>
          <w:color w:val="000000"/>
        </w:rPr>
        <w:t>mélanges</w:t>
      </w:r>
      <w:proofErr w:type="gramEnd"/>
      <w:r w:rsidRPr="000D0400">
        <w:rPr>
          <w:i/>
          <w:color w:val="000000"/>
        </w:rPr>
        <w:t xml:space="preserve"> d’huiles essentielles destinés à une application cutanée</w:t>
      </w:r>
      <w:r>
        <w:rPr>
          <w:color w:val="000000"/>
        </w:rPr>
        <w:t>.</w:t>
      </w:r>
    </w:p>
    <w:p w14:paraId="71740EA5" w14:textId="77777777" w:rsidR="00093347" w:rsidRDefault="000022DE">
      <w:pPr>
        <w:pBdr>
          <w:top w:val="nil"/>
          <w:left w:val="nil"/>
          <w:bottom w:val="nil"/>
          <w:right w:val="nil"/>
          <w:between w:val="nil"/>
        </w:pBdr>
        <w:ind w:left="720"/>
        <w:jc w:val="both"/>
        <w:rPr>
          <w:b/>
          <w:u w:val="single"/>
        </w:rPr>
      </w:pPr>
      <w:r>
        <w:br w:type="page"/>
      </w:r>
    </w:p>
    <w:p w14:paraId="0C62D564" w14:textId="77777777" w:rsidR="00093347" w:rsidRDefault="000022DE">
      <w:pPr>
        <w:pBdr>
          <w:top w:val="nil"/>
          <w:left w:val="nil"/>
          <w:bottom w:val="nil"/>
          <w:right w:val="nil"/>
          <w:between w:val="nil"/>
        </w:pBdr>
        <w:ind w:left="720"/>
        <w:jc w:val="center"/>
        <w:rPr>
          <w:b/>
          <w:u w:val="single"/>
        </w:rPr>
      </w:pPr>
      <w:r>
        <w:rPr>
          <w:b/>
          <w:u w:val="single"/>
        </w:rPr>
        <w:lastRenderedPageBreak/>
        <w:t>ARGUMENTAIRE POUR LA CONSULTATION PUBLIQUE DE LA MONOGRAPHIE N° 1283 : MÉLANGES D’HUILES ESSENTIELLES DESTINES À L'INHALATION POUR PRÉPARATIONS OFFICINALES</w:t>
      </w:r>
    </w:p>
    <w:p w14:paraId="46A12423" w14:textId="77777777" w:rsidR="00093347" w:rsidRDefault="00093347">
      <w:pPr>
        <w:rPr>
          <w:b/>
        </w:rPr>
      </w:pPr>
    </w:p>
    <w:p w14:paraId="2EF41F25" w14:textId="77777777" w:rsidR="00093347" w:rsidRDefault="000022DE">
      <w:pPr>
        <w:numPr>
          <w:ilvl w:val="0"/>
          <w:numId w:val="2"/>
        </w:numPr>
        <w:pBdr>
          <w:top w:val="nil"/>
          <w:left w:val="nil"/>
          <w:bottom w:val="nil"/>
          <w:right w:val="nil"/>
          <w:between w:val="nil"/>
        </w:pBdr>
        <w:jc w:val="center"/>
        <w:rPr>
          <w:b/>
          <w:color w:val="000000"/>
        </w:rPr>
      </w:pPr>
      <w:r>
        <w:rPr>
          <w:b/>
          <w:color w:val="000000"/>
        </w:rPr>
        <w:t>COMMENTAIRES DE FOND</w:t>
      </w:r>
    </w:p>
    <w:p w14:paraId="665B8C68" w14:textId="77777777" w:rsidR="00093347" w:rsidRDefault="000022DE">
      <w:pPr>
        <w:rPr>
          <w:b/>
        </w:rPr>
      </w:pPr>
      <w:r>
        <w:rPr>
          <w:b/>
        </w:rPr>
        <w:t>CHAPITRE « PRODUCTION »</w:t>
      </w:r>
    </w:p>
    <w:p w14:paraId="612653F0" w14:textId="77777777" w:rsidR="00D878F4" w:rsidRDefault="00D878F4">
      <w:pPr>
        <w:numPr>
          <w:ilvl w:val="0"/>
          <w:numId w:val="1"/>
        </w:numPr>
        <w:pBdr>
          <w:top w:val="nil"/>
          <w:left w:val="nil"/>
          <w:bottom w:val="nil"/>
          <w:right w:val="nil"/>
          <w:between w:val="nil"/>
        </w:pBdr>
        <w:spacing w:after="0"/>
        <w:ind w:left="1068"/>
        <w:jc w:val="both"/>
      </w:pPr>
      <w:r>
        <w:t xml:space="preserve">A propos </w:t>
      </w:r>
      <w:r w:rsidRPr="0049143F">
        <w:t>de la limite à trois huiles essentielles</w:t>
      </w:r>
      <w:r>
        <w:t> :</w:t>
      </w:r>
    </w:p>
    <w:p w14:paraId="166EF615" w14:textId="77777777" w:rsidR="00093347" w:rsidRDefault="00D878F4" w:rsidP="000D0400">
      <w:pPr>
        <w:pBdr>
          <w:top w:val="nil"/>
          <w:left w:val="nil"/>
          <w:bottom w:val="nil"/>
          <w:right w:val="nil"/>
          <w:between w:val="nil"/>
        </w:pBdr>
        <w:spacing w:after="0"/>
        <w:ind w:left="1068"/>
        <w:jc w:val="both"/>
      </w:pPr>
      <w:r>
        <w:rPr>
          <w:color w:val="000000"/>
        </w:rPr>
        <w:t>L</w:t>
      </w:r>
      <w:r w:rsidR="000022DE">
        <w:rPr>
          <w:color w:val="000000"/>
        </w:rPr>
        <w:t xml:space="preserve">e concept d’effet de synergie, connu dans le domaine de la toxicologie, est de plus en plus étudié et avéré en aromathérapie. Des exemples de synergies de mélanges de composés aromatiques étudiées in vitro et in vivo sont décrits dans l’ouvrage </w:t>
      </w:r>
      <w:r w:rsidR="000022DE" w:rsidRPr="00F0291B">
        <w:rPr>
          <w:i/>
          <w:color w:val="000000"/>
        </w:rPr>
        <w:t xml:space="preserve">Essential </w:t>
      </w:r>
      <w:proofErr w:type="spellStart"/>
      <w:r w:rsidR="000022DE" w:rsidRPr="00F0291B">
        <w:rPr>
          <w:i/>
          <w:color w:val="000000"/>
        </w:rPr>
        <w:t>oil</w:t>
      </w:r>
      <w:proofErr w:type="spellEnd"/>
      <w:r w:rsidR="000022DE" w:rsidRPr="00F0291B">
        <w:rPr>
          <w:i/>
          <w:color w:val="000000"/>
        </w:rPr>
        <w:t xml:space="preserve"> </w:t>
      </w:r>
      <w:proofErr w:type="spellStart"/>
      <w:proofErr w:type="gramStart"/>
      <w:r w:rsidR="000022DE" w:rsidRPr="00F0291B">
        <w:rPr>
          <w:i/>
          <w:color w:val="000000"/>
        </w:rPr>
        <w:t>safety</w:t>
      </w:r>
      <w:proofErr w:type="spellEnd"/>
      <w:r w:rsidR="000022DE">
        <w:rPr>
          <w:color w:val="000000"/>
        </w:rPr>
        <w:t>,  2</w:t>
      </w:r>
      <w:proofErr w:type="gramEnd"/>
      <w:r w:rsidR="000022DE">
        <w:rPr>
          <w:color w:val="000000"/>
        </w:rPr>
        <w:t xml:space="preserve">nd édition, Tisserand and Young, dans le chapitre </w:t>
      </w:r>
      <w:proofErr w:type="spellStart"/>
      <w:r w:rsidR="000022DE">
        <w:rPr>
          <w:color w:val="000000"/>
        </w:rPr>
        <w:t>Toxic</w:t>
      </w:r>
      <w:proofErr w:type="spellEnd"/>
      <w:r w:rsidR="000022DE">
        <w:rPr>
          <w:color w:val="000000"/>
        </w:rPr>
        <w:t xml:space="preserve"> substances.</w:t>
      </w:r>
    </w:p>
    <w:p w14:paraId="39E33994" w14:textId="77777777" w:rsidR="00093347" w:rsidRDefault="000022DE">
      <w:pPr>
        <w:pBdr>
          <w:top w:val="nil"/>
          <w:left w:val="nil"/>
          <w:bottom w:val="nil"/>
          <w:right w:val="nil"/>
          <w:between w:val="nil"/>
        </w:pBdr>
        <w:spacing w:after="0"/>
        <w:ind w:left="1068"/>
        <w:jc w:val="both"/>
        <w:rPr>
          <w:color w:val="000000"/>
        </w:rPr>
      </w:pPr>
      <w:r>
        <w:rPr>
          <w:color w:val="000000"/>
        </w:rPr>
        <w:t>De plus, associer plusieurs huiles essentielles en mélange est une pratique traditionnelle ancrée chez les prescripteurs et utilisateurs d’aromathérapie, pratique que l’on retrouve par ailleurs dans les prescriptions de préparations magistrales.</w:t>
      </w:r>
    </w:p>
    <w:p w14:paraId="5D24B436" w14:textId="77777777" w:rsidR="00D878F4" w:rsidRDefault="000022DE">
      <w:pPr>
        <w:pBdr>
          <w:top w:val="nil"/>
          <w:left w:val="nil"/>
          <w:bottom w:val="nil"/>
          <w:right w:val="nil"/>
          <w:between w:val="nil"/>
        </w:pBdr>
        <w:spacing w:after="0"/>
        <w:ind w:left="1068"/>
        <w:jc w:val="both"/>
        <w:rPr>
          <w:color w:val="000000"/>
        </w:rPr>
      </w:pPr>
      <w:r>
        <w:rPr>
          <w:color w:val="000000"/>
        </w:rPr>
        <w:t xml:space="preserve">Enfin, il existe déjà des médicaments, dispositifs médicaux et compléments alimentaires contenant plus de 3 huiles essentielles (ex : </w:t>
      </w:r>
      <w:proofErr w:type="spellStart"/>
      <w:r>
        <w:rPr>
          <w:color w:val="000000"/>
        </w:rPr>
        <w:t>Perubore</w:t>
      </w:r>
      <w:proofErr w:type="spellEnd"/>
      <w:r>
        <w:rPr>
          <w:color w:val="000000"/>
        </w:rPr>
        <w:t xml:space="preserve">, certains produits </w:t>
      </w:r>
      <w:proofErr w:type="spellStart"/>
      <w:r>
        <w:rPr>
          <w:color w:val="000000"/>
        </w:rPr>
        <w:t>Pranarom</w:t>
      </w:r>
      <w:proofErr w:type="spellEnd"/>
      <w:r>
        <w:rPr>
          <w:color w:val="000000"/>
        </w:rPr>
        <w:t xml:space="preserve">). </w:t>
      </w:r>
    </w:p>
    <w:p w14:paraId="64226677" w14:textId="77777777" w:rsidR="00D878F4" w:rsidRDefault="00D878F4">
      <w:pPr>
        <w:pBdr>
          <w:top w:val="nil"/>
          <w:left w:val="nil"/>
          <w:bottom w:val="nil"/>
          <w:right w:val="nil"/>
          <w:between w:val="nil"/>
        </w:pBdr>
        <w:spacing w:after="0"/>
        <w:ind w:left="1068"/>
        <w:jc w:val="both"/>
        <w:rPr>
          <w:color w:val="000000"/>
        </w:rPr>
      </w:pPr>
    </w:p>
    <w:p w14:paraId="16C1BDD2" w14:textId="77777777" w:rsidR="00093347" w:rsidRDefault="000022DE">
      <w:pPr>
        <w:pBdr>
          <w:top w:val="nil"/>
          <w:left w:val="nil"/>
          <w:bottom w:val="nil"/>
          <w:right w:val="nil"/>
          <w:between w:val="nil"/>
        </w:pBdr>
        <w:spacing w:after="0"/>
        <w:ind w:left="1068"/>
        <w:jc w:val="both"/>
        <w:rPr>
          <w:color w:val="000000"/>
        </w:rPr>
      </w:pPr>
      <w:r>
        <w:rPr>
          <w:color w:val="000000"/>
        </w:rPr>
        <w:t>Nous proposons donc de porter à cinq le nombre maximal d’huiles essentielles, en limitant à un maximum de 3 huiles essentielles cétoniques dans la même préparation. Ainsi, avec ce</w:t>
      </w:r>
      <w:r w:rsidR="00C4422F">
        <w:rPr>
          <w:color w:val="000000"/>
        </w:rPr>
        <w:t>tte</w:t>
      </w:r>
      <w:r>
        <w:rPr>
          <w:color w:val="000000"/>
        </w:rPr>
        <w:t xml:space="preserve"> limitation quantitative, associée aux précautions d’usage recensées dans l’annexe IV, la sécurité d’emploi reste assurée. </w:t>
      </w:r>
    </w:p>
    <w:p w14:paraId="219BEBEB" w14:textId="77777777" w:rsidR="00093347" w:rsidRDefault="000022DE">
      <w:pPr>
        <w:pBdr>
          <w:top w:val="nil"/>
          <w:left w:val="nil"/>
          <w:bottom w:val="nil"/>
          <w:right w:val="nil"/>
          <w:between w:val="nil"/>
        </w:pBdr>
        <w:spacing w:after="0"/>
        <w:ind w:left="1068"/>
        <w:jc w:val="both"/>
        <w:rPr>
          <w:color w:val="000000"/>
        </w:rPr>
      </w:pPr>
      <w:r>
        <w:rPr>
          <w:color w:val="000000"/>
        </w:rPr>
        <w:t xml:space="preserve">Nous proposons donc de porter à </w:t>
      </w:r>
      <w:r>
        <w:rPr>
          <w:b/>
          <w:color w:val="000000"/>
        </w:rPr>
        <w:t xml:space="preserve">cinq </w:t>
      </w:r>
      <w:r>
        <w:rPr>
          <w:color w:val="000000"/>
        </w:rPr>
        <w:t>le nombre maximal d’huiles essentielles, en limitant à un maximum de 3 huiles essentielles cétoniques dans la même préparation. Ainsi, avec ce</w:t>
      </w:r>
      <w:r w:rsidR="00C4422F">
        <w:rPr>
          <w:color w:val="000000"/>
        </w:rPr>
        <w:t>tte</w:t>
      </w:r>
      <w:r>
        <w:rPr>
          <w:color w:val="000000"/>
        </w:rPr>
        <w:t xml:space="preserve"> limitation quantitative, associée aux précautions d’usage recensées dans l’annexe IV, la sécurité d’emploi reste assurée.</w:t>
      </w:r>
    </w:p>
    <w:p w14:paraId="75B66CE9" w14:textId="77777777" w:rsidR="00093347" w:rsidRDefault="00093347">
      <w:pPr>
        <w:pBdr>
          <w:top w:val="nil"/>
          <w:left w:val="nil"/>
          <w:bottom w:val="nil"/>
          <w:right w:val="nil"/>
          <w:between w:val="nil"/>
        </w:pBdr>
        <w:spacing w:after="0"/>
        <w:ind w:left="1416"/>
        <w:jc w:val="both"/>
        <w:rPr>
          <w:color w:val="000000"/>
        </w:rPr>
      </w:pPr>
    </w:p>
    <w:p w14:paraId="727D1EFA" w14:textId="77777777" w:rsidR="00093347" w:rsidRDefault="000022DE">
      <w:pPr>
        <w:numPr>
          <w:ilvl w:val="0"/>
          <w:numId w:val="3"/>
        </w:numPr>
        <w:pBdr>
          <w:top w:val="nil"/>
          <w:left w:val="nil"/>
          <w:bottom w:val="nil"/>
          <w:right w:val="nil"/>
          <w:between w:val="nil"/>
        </w:pBdr>
        <w:spacing w:after="0"/>
        <w:ind w:left="1068"/>
        <w:jc w:val="both"/>
      </w:pPr>
      <w:r>
        <w:rPr>
          <w:color w:val="000000"/>
        </w:rPr>
        <w:t xml:space="preserve">La </w:t>
      </w:r>
      <w:r>
        <w:rPr>
          <w:b/>
          <w:color w:val="000000"/>
        </w:rPr>
        <w:t>taille des lots</w:t>
      </w:r>
      <w:r>
        <w:rPr>
          <w:color w:val="000000"/>
        </w:rPr>
        <w:t xml:space="preserve"> ne devrait pas être limitée par </w:t>
      </w:r>
      <w:r w:rsidR="00DF4292">
        <w:rPr>
          <w:color w:val="000000"/>
        </w:rPr>
        <w:t xml:space="preserve">cette </w:t>
      </w:r>
      <w:r>
        <w:rPr>
          <w:color w:val="000000"/>
        </w:rPr>
        <w:t xml:space="preserve">monographie car l’analyse de risque proposée par le texte des nouvelles BPP en enquête publique permettra de dimensionner la taille du lot. Nous pensons que l’appui sur les BPP sur la taille des lots garantira une meilleure sécurité aux préparations officinales à base d’huiles essentielles. </w:t>
      </w:r>
      <w:r>
        <w:t>Nous suggérons donc la suppression des lignes 26 et 27 de la monographie 1283.</w:t>
      </w:r>
    </w:p>
    <w:p w14:paraId="451A523C" w14:textId="77777777" w:rsidR="00093347" w:rsidRDefault="00093347">
      <w:pPr>
        <w:pBdr>
          <w:top w:val="nil"/>
          <w:left w:val="nil"/>
          <w:bottom w:val="nil"/>
          <w:right w:val="nil"/>
          <w:between w:val="nil"/>
        </w:pBdr>
        <w:spacing w:after="0"/>
        <w:ind w:left="720"/>
        <w:rPr>
          <w:b/>
          <w:color w:val="000000"/>
        </w:rPr>
      </w:pPr>
    </w:p>
    <w:p w14:paraId="1DD1938D" w14:textId="77777777" w:rsidR="00093347" w:rsidRDefault="000022DE">
      <w:pPr>
        <w:rPr>
          <w:b/>
        </w:rPr>
      </w:pPr>
      <w:r>
        <w:rPr>
          <w:b/>
        </w:rPr>
        <w:t>CHAPITRE « CONTRÔLE DE LA QUALITÉ »</w:t>
      </w:r>
    </w:p>
    <w:p w14:paraId="0C165434" w14:textId="77777777" w:rsidR="00093347" w:rsidRDefault="000022DE">
      <w:pPr>
        <w:jc w:val="both"/>
      </w:pPr>
      <w:r>
        <w:t>Contrôle de la préparation terminée :</w:t>
      </w:r>
    </w:p>
    <w:p w14:paraId="4FA90969" w14:textId="77777777" w:rsidR="00093347" w:rsidRDefault="000022DE">
      <w:pPr>
        <w:numPr>
          <w:ilvl w:val="0"/>
          <w:numId w:val="3"/>
        </w:numPr>
        <w:jc w:val="both"/>
        <w:rPr>
          <w:b/>
        </w:rPr>
      </w:pPr>
      <w:proofErr w:type="gramStart"/>
      <w:r>
        <w:t>paragraphe</w:t>
      </w:r>
      <w:proofErr w:type="gramEnd"/>
      <w:r>
        <w:t xml:space="preserve"> B. Identification et paragraphe C. Dosage :</w:t>
      </w:r>
    </w:p>
    <w:p w14:paraId="22DAD5AA" w14:textId="77777777" w:rsidR="00093347" w:rsidRDefault="000022DE">
      <w:pPr>
        <w:ind w:left="720"/>
        <w:jc w:val="both"/>
      </w:pPr>
      <w:r>
        <w:t>Dans le cas où la préparation officinale contient plusieurs huiles essentielles dont les méthodes de dosage par CPG dans leurs monographies respectives sont différentes en termes de conditions chromatographiques, quelle méthode CPG doit être mise en œuvre pour le contrôle de la préparation ?</w:t>
      </w:r>
    </w:p>
    <w:p w14:paraId="4043B067" w14:textId="77777777" w:rsidR="00902760" w:rsidRDefault="00902760" w:rsidP="00902760">
      <w:pPr>
        <w:jc w:val="both"/>
        <w:rPr>
          <w:b/>
        </w:rPr>
      </w:pPr>
      <w:r>
        <w:rPr>
          <w:b/>
        </w:rPr>
        <w:t>CHAPITRE « CONSERVATION »</w:t>
      </w:r>
    </w:p>
    <w:p w14:paraId="7FD32A7E" w14:textId="77777777" w:rsidR="00902760" w:rsidRDefault="00902760" w:rsidP="00902760">
      <w:pPr>
        <w:numPr>
          <w:ilvl w:val="0"/>
          <w:numId w:val="3"/>
        </w:numPr>
        <w:pBdr>
          <w:top w:val="nil"/>
          <w:left w:val="nil"/>
          <w:bottom w:val="nil"/>
          <w:right w:val="nil"/>
          <w:between w:val="nil"/>
        </w:pBdr>
        <w:spacing w:after="0"/>
        <w:jc w:val="both"/>
      </w:pPr>
      <w:r>
        <w:rPr>
          <w:color w:val="000000"/>
        </w:rPr>
        <w:t xml:space="preserve">Nous proposons la modification suivante : la péremption des préparations terminées est </w:t>
      </w:r>
      <w:proofErr w:type="gramStart"/>
      <w:r>
        <w:rPr>
          <w:color w:val="000000"/>
        </w:rPr>
        <w:t>de un</w:t>
      </w:r>
      <w:proofErr w:type="gramEnd"/>
      <w:r>
        <w:rPr>
          <w:color w:val="000000"/>
        </w:rPr>
        <w:t xml:space="preserve"> mois en l’absence de données de stabilité du mélange et doit être déterminée en fonction des critères définis dans les BPP en vigueur. </w:t>
      </w:r>
    </w:p>
    <w:p w14:paraId="63122420" w14:textId="77777777" w:rsidR="00902760" w:rsidRDefault="00902760" w:rsidP="00902760">
      <w:pPr>
        <w:pBdr>
          <w:top w:val="nil"/>
          <w:left w:val="nil"/>
          <w:bottom w:val="nil"/>
          <w:right w:val="nil"/>
          <w:between w:val="nil"/>
        </w:pBdr>
        <w:spacing w:after="0"/>
        <w:jc w:val="both"/>
        <w:rPr>
          <w:color w:val="000000"/>
        </w:rPr>
      </w:pPr>
    </w:p>
    <w:p w14:paraId="4A00BF4F" w14:textId="77777777" w:rsidR="00093347" w:rsidRDefault="00093347">
      <w:pPr>
        <w:pBdr>
          <w:top w:val="nil"/>
          <w:left w:val="nil"/>
          <w:bottom w:val="nil"/>
          <w:right w:val="nil"/>
          <w:between w:val="nil"/>
        </w:pBdr>
        <w:spacing w:after="0"/>
        <w:rPr>
          <w:b/>
        </w:rPr>
      </w:pPr>
    </w:p>
    <w:p w14:paraId="19B811D1" w14:textId="77777777" w:rsidR="00093347" w:rsidRDefault="000022DE">
      <w:pPr>
        <w:pBdr>
          <w:top w:val="nil"/>
          <w:left w:val="nil"/>
          <w:bottom w:val="nil"/>
          <w:right w:val="nil"/>
          <w:between w:val="nil"/>
        </w:pBdr>
        <w:spacing w:after="0"/>
        <w:rPr>
          <w:b/>
        </w:rPr>
      </w:pPr>
      <w:r>
        <w:rPr>
          <w:b/>
          <w:color w:val="000000"/>
        </w:rPr>
        <w:t xml:space="preserve">CHAPITRE </w:t>
      </w:r>
      <w:r>
        <w:rPr>
          <w:b/>
        </w:rPr>
        <w:t>«</w:t>
      </w:r>
      <w:r>
        <w:rPr>
          <w:b/>
          <w:color w:val="000000"/>
        </w:rPr>
        <w:t xml:space="preserve"> </w:t>
      </w:r>
      <w:r>
        <w:rPr>
          <w:b/>
        </w:rPr>
        <w:t>ÉTIQUETAGE »</w:t>
      </w:r>
    </w:p>
    <w:p w14:paraId="459049C7" w14:textId="77777777" w:rsidR="00093347" w:rsidRDefault="00093347">
      <w:pPr>
        <w:pBdr>
          <w:top w:val="nil"/>
          <w:left w:val="nil"/>
          <w:bottom w:val="nil"/>
          <w:right w:val="nil"/>
          <w:between w:val="nil"/>
        </w:pBdr>
        <w:spacing w:after="0"/>
        <w:rPr>
          <w:b/>
          <w:color w:val="000000"/>
        </w:rPr>
      </w:pPr>
    </w:p>
    <w:p w14:paraId="4B6B42BD" w14:textId="77777777" w:rsidR="00093347" w:rsidRDefault="000022DE">
      <w:pPr>
        <w:numPr>
          <w:ilvl w:val="0"/>
          <w:numId w:val="3"/>
        </w:numPr>
        <w:pBdr>
          <w:top w:val="nil"/>
          <w:left w:val="nil"/>
          <w:bottom w:val="nil"/>
          <w:right w:val="nil"/>
          <w:between w:val="nil"/>
        </w:pBdr>
        <w:spacing w:after="0"/>
        <w:rPr>
          <w:color w:val="000000"/>
        </w:rPr>
      </w:pPr>
      <w:bookmarkStart w:id="0" w:name="_heading=h.gjdgxs" w:colFirst="0" w:colLast="0"/>
      <w:bookmarkEnd w:id="0"/>
      <w:r>
        <w:rPr>
          <w:color w:val="000000"/>
        </w:rPr>
        <w:t>Ligne 27 : prise en compte de l’inhalation sèche dans l’étiquetage le cas échéant.</w:t>
      </w:r>
    </w:p>
    <w:p w14:paraId="6CEC38A1" w14:textId="77777777" w:rsidR="00093347" w:rsidRDefault="000022DE">
      <w:pPr>
        <w:numPr>
          <w:ilvl w:val="0"/>
          <w:numId w:val="3"/>
        </w:numPr>
        <w:pBdr>
          <w:top w:val="nil"/>
          <w:left w:val="nil"/>
          <w:bottom w:val="nil"/>
          <w:right w:val="nil"/>
          <w:between w:val="nil"/>
        </w:pBdr>
        <w:spacing w:after="0"/>
        <w:rPr>
          <w:color w:val="000000"/>
        </w:rPr>
      </w:pPr>
      <w:r>
        <w:rPr>
          <w:color w:val="000000"/>
        </w:rPr>
        <w:t>Ligne 33 : ajout de la mention par vapeur dans les conseils d’usage.</w:t>
      </w:r>
    </w:p>
    <w:p w14:paraId="3D456EE0" w14:textId="77777777" w:rsidR="00093347" w:rsidRDefault="00093347">
      <w:pPr>
        <w:pBdr>
          <w:top w:val="nil"/>
          <w:left w:val="nil"/>
          <w:bottom w:val="nil"/>
          <w:right w:val="nil"/>
          <w:between w:val="nil"/>
        </w:pBdr>
        <w:spacing w:after="0"/>
        <w:rPr>
          <w:b/>
        </w:rPr>
      </w:pPr>
    </w:p>
    <w:p w14:paraId="2BBB60EA" w14:textId="77777777" w:rsidR="00093347" w:rsidRDefault="000022DE">
      <w:pPr>
        <w:pBdr>
          <w:top w:val="nil"/>
          <w:left w:val="nil"/>
          <w:bottom w:val="nil"/>
          <w:right w:val="nil"/>
          <w:between w:val="nil"/>
        </w:pBdr>
        <w:spacing w:after="0"/>
        <w:rPr>
          <w:b/>
          <w:color w:val="000000"/>
        </w:rPr>
      </w:pPr>
      <w:r>
        <w:rPr>
          <w:b/>
          <w:color w:val="000000"/>
        </w:rPr>
        <w:t>ANNEXE I</w:t>
      </w:r>
    </w:p>
    <w:p w14:paraId="4E81CD2B" w14:textId="77777777" w:rsidR="00093347" w:rsidRDefault="00093347">
      <w:pPr>
        <w:pBdr>
          <w:top w:val="nil"/>
          <w:left w:val="nil"/>
          <w:bottom w:val="nil"/>
          <w:right w:val="nil"/>
          <w:between w:val="nil"/>
        </w:pBdr>
        <w:spacing w:after="0"/>
        <w:ind w:left="720"/>
        <w:jc w:val="both"/>
        <w:rPr>
          <w:b/>
          <w:color w:val="000000"/>
        </w:rPr>
      </w:pPr>
    </w:p>
    <w:p w14:paraId="64A8D47E" w14:textId="77777777" w:rsidR="00093347" w:rsidRDefault="00954A56" w:rsidP="00F0291B">
      <w:pPr>
        <w:numPr>
          <w:ilvl w:val="0"/>
          <w:numId w:val="3"/>
        </w:numPr>
        <w:pBdr>
          <w:top w:val="nil"/>
          <w:left w:val="nil"/>
          <w:bottom w:val="nil"/>
          <w:right w:val="nil"/>
          <w:between w:val="nil"/>
        </w:pBdr>
        <w:spacing w:after="0"/>
        <w:jc w:val="both"/>
      </w:pPr>
      <w:r>
        <w:rPr>
          <w:color w:val="000000"/>
        </w:rPr>
        <w:t>N</w:t>
      </w:r>
      <w:r w:rsidR="000022DE">
        <w:rPr>
          <w:color w:val="000000"/>
        </w:rPr>
        <w:t>ous proposons</w:t>
      </w:r>
      <w:r>
        <w:rPr>
          <w:color w:val="000000"/>
        </w:rPr>
        <w:t xml:space="preserve"> que la liste soit plutôt</w:t>
      </w:r>
      <w:r w:rsidR="000022DE">
        <w:rPr>
          <w:color w:val="000000"/>
        </w:rPr>
        <w:t xml:space="preserve"> une liste d’huiles essentielles qui seraient interdites dans les préparations officinales en raison d’une difficulté de maniabilité et de dangerosité de ces dernières. Les huiles essentielles non mentionnées dans cette liste pourraient être utilisées dans le cadre de cette monographie dans le cadre des BPP en vigueur.</w:t>
      </w:r>
    </w:p>
    <w:p w14:paraId="3BECD8DD" w14:textId="77777777" w:rsidR="00093347" w:rsidRDefault="00093347">
      <w:pPr>
        <w:pBdr>
          <w:top w:val="nil"/>
          <w:left w:val="nil"/>
          <w:bottom w:val="nil"/>
          <w:right w:val="nil"/>
          <w:between w:val="nil"/>
        </w:pBdr>
        <w:spacing w:after="0"/>
        <w:ind w:left="720"/>
        <w:rPr>
          <w:color w:val="000000"/>
        </w:rPr>
      </w:pPr>
    </w:p>
    <w:p w14:paraId="08487021" w14:textId="77777777" w:rsidR="00093347" w:rsidRDefault="000022DE">
      <w:pPr>
        <w:pBdr>
          <w:top w:val="nil"/>
          <w:left w:val="nil"/>
          <w:bottom w:val="nil"/>
          <w:right w:val="nil"/>
          <w:between w:val="nil"/>
        </w:pBdr>
        <w:spacing w:after="0"/>
        <w:ind w:left="720"/>
        <w:rPr>
          <w:b/>
          <w:i/>
          <w:color w:val="000000"/>
        </w:rPr>
      </w:pPr>
      <w:r>
        <w:rPr>
          <w:b/>
          <w:color w:val="000000"/>
        </w:rPr>
        <w:t xml:space="preserve">Listes des huiles essentielles interdites dans les </w:t>
      </w:r>
      <w:r>
        <w:rPr>
          <w:b/>
          <w:i/>
          <w:color w:val="000000"/>
        </w:rPr>
        <w:t>Mélanges d’huiles essentielles destinés à l’inhalation pour préparations officinales.</w:t>
      </w:r>
    </w:p>
    <w:p w14:paraId="5E024D4C" w14:textId="77777777" w:rsidR="00093347" w:rsidRDefault="00093347">
      <w:pPr>
        <w:pBdr>
          <w:top w:val="nil"/>
          <w:left w:val="nil"/>
          <w:bottom w:val="nil"/>
          <w:right w:val="nil"/>
          <w:between w:val="nil"/>
        </w:pBdr>
        <w:spacing w:after="0"/>
        <w:ind w:left="720"/>
        <w:rPr>
          <w:i/>
          <w:color w:val="000000"/>
        </w:rPr>
      </w:pPr>
    </w:p>
    <w:p w14:paraId="195C3600" w14:textId="77777777" w:rsidR="00093347" w:rsidRDefault="000022DE">
      <w:pPr>
        <w:jc w:val="both"/>
        <w:rPr>
          <w:i/>
        </w:rPr>
      </w:pPr>
      <w:r>
        <w:rPr>
          <w:i/>
        </w:rPr>
        <w:t xml:space="preserve">Selon le décret 2007-1198 du 3 Août 2007 (neurotoxique, irritante, </w:t>
      </w:r>
      <w:proofErr w:type="spellStart"/>
      <w:r>
        <w:rPr>
          <w:i/>
        </w:rPr>
        <w:t>phototoxique</w:t>
      </w:r>
      <w:proofErr w:type="spellEnd"/>
      <w:r>
        <w:rPr>
          <w:i/>
        </w:rPr>
        <w:t xml:space="preserve"> ou cancérigène) :</w:t>
      </w:r>
    </w:p>
    <w:p w14:paraId="01906C3B"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 xml:space="preserve">Grande absinthe (Artemisia </w:t>
      </w:r>
      <w:proofErr w:type="spellStart"/>
      <w:r>
        <w:rPr>
          <w:i/>
        </w:rPr>
        <w:t>absinthium</w:t>
      </w:r>
      <w:proofErr w:type="spellEnd"/>
      <w:r>
        <w:rPr>
          <w:i/>
        </w:rPr>
        <w:t xml:space="preserve"> L.) </w:t>
      </w:r>
    </w:p>
    <w:p w14:paraId="1C94B8D3"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 xml:space="preserve">Petite absinthe (Artemisia </w:t>
      </w:r>
      <w:proofErr w:type="spellStart"/>
      <w:r>
        <w:rPr>
          <w:i/>
        </w:rPr>
        <w:t>pontica</w:t>
      </w:r>
      <w:proofErr w:type="spellEnd"/>
      <w:r>
        <w:rPr>
          <w:i/>
        </w:rPr>
        <w:t xml:space="preserve"> L.) </w:t>
      </w:r>
    </w:p>
    <w:p w14:paraId="108342A2"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 xml:space="preserve">Armoise commune (Artemisia vulgaris L.) </w:t>
      </w:r>
    </w:p>
    <w:p w14:paraId="16A006E0"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 xml:space="preserve">Armoise blanche (Artemisia herba alba Asso) </w:t>
      </w:r>
    </w:p>
    <w:p w14:paraId="14347C2F"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 xml:space="preserve">Armoise arborescente (Artemisia </w:t>
      </w:r>
      <w:proofErr w:type="spellStart"/>
      <w:r>
        <w:rPr>
          <w:i/>
        </w:rPr>
        <w:t>arborescens</w:t>
      </w:r>
      <w:proofErr w:type="spellEnd"/>
      <w:r>
        <w:rPr>
          <w:i/>
        </w:rPr>
        <w:t xml:space="preserve"> L.) </w:t>
      </w:r>
    </w:p>
    <w:p w14:paraId="3C8CC6C4"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 xml:space="preserve">Thuya du Canada ou cèdre blanc (Thuya occidentalis L.) et cèdre de Corée (Thuya </w:t>
      </w:r>
      <w:proofErr w:type="spellStart"/>
      <w:r>
        <w:rPr>
          <w:i/>
        </w:rPr>
        <w:t>Koraenensis</w:t>
      </w:r>
      <w:proofErr w:type="spellEnd"/>
      <w:r>
        <w:rPr>
          <w:i/>
        </w:rPr>
        <w:t xml:space="preserve"> </w:t>
      </w:r>
      <w:proofErr w:type="spellStart"/>
      <w:r>
        <w:rPr>
          <w:i/>
        </w:rPr>
        <w:t>Nakai</w:t>
      </w:r>
      <w:proofErr w:type="spellEnd"/>
      <w:r>
        <w:rPr>
          <w:i/>
        </w:rPr>
        <w:t>), dits "cèdre feuille</w:t>
      </w:r>
    </w:p>
    <w:p w14:paraId="7FB22B6C"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Hysope (</w:t>
      </w:r>
      <w:proofErr w:type="spellStart"/>
      <w:r>
        <w:rPr>
          <w:i/>
        </w:rPr>
        <w:t>Hyssopus</w:t>
      </w:r>
      <w:proofErr w:type="spellEnd"/>
      <w:r>
        <w:rPr>
          <w:i/>
        </w:rPr>
        <w:t xml:space="preserve"> </w:t>
      </w:r>
      <w:proofErr w:type="spellStart"/>
      <w:r>
        <w:rPr>
          <w:i/>
        </w:rPr>
        <w:t>officinalis</w:t>
      </w:r>
      <w:proofErr w:type="spellEnd"/>
      <w:r>
        <w:rPr>
          <w:i/>
        </w:rPr>
        <w:t xml:space="preserve"> L.) </w:t>
      </w:r>
    </w:p>
    <w:p w14:paraId="7138CB10"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 xml:space="preserve">Sauge officinale (Salvia </w:t>
      </w:r>
      <w:proofErr w:type="spellStart"/>
      <w:r>
        <w:rPr>
          <w:i/>
        </w:rPr>
        <w:t>officinalis</w:t>
      </w:r>
      <w:proofErr w:type="spellEnd"/>
      <w:r>
        <w:rPr>
          <w:i/>
        </w:rPr>
        <w:t xml:space="preserve"> L.)</w:t>
      </w:r>
    </w:p>
    <w:p w14:paraId="2AD31655"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Tanaisie (</w:t>
      </w:r>
      <w:proofErr w:type="spellStart"/>
      <w:r>
        <w:rPr>
          <w:i/>
        </w:rPr>
        <w:t>Tanacetum</w:t>
      </w:r>
      <w:proofErr w:type="spellEnd"/>
      <w:r>
        <w:rPr>
          <w:i/>
        </w:rPr>
        <w:t xml:space="preserve"> </w:t>
      </w:r>
      <w:proofErr w:type="spellStart"/>
      <w:r>
        <w:rPr>
          <w:i/>
        </w:rPr>
        <w:t>vulgare</w:t>
      </w:r>
      <w:proofErr w:type="spellEnd"/>
      <w:r>
        <w:rPr>
          <w:i/>
        </w:rPr>
        <w:t xml:space="preserve"> L.)</w:t>
      </w:r>
    </w:p>
    <w:p w14:paraId="7F0C758B"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 xml:space="preserve">Thuya (Thuya </w:t>
      </w:r>
      <w:proofErr w:type="spellStart"/>
      <w:r>
        <w:rPr>
          <w:i/>
        </w:rPr>
        <w:t>plicata</w:t>
      </w:r>
      <w:proofErr w:type="spellEnd"/>
      <w:r>
        <w:rPr>
          <w:i/>
        </w:rPr>
        <w:t xml:space="preserve"> </w:t>
      </w:r>
      <w:proofErr w:type="spellStart"/>
      <w:r>
        <w:rPr>
          <w:i/>
        </w:rPr>
        <w:t>Donn</w:t>
      </w:r>
      <w:proofErr w:type="spellEnd"/>
      <w:r>
        <w:rPr>
          <w:i/>
        </w:rPr>
        <w:t xml:space="preserve"> ex D. Don.) </w:t>
      </w:r>
    </w:p>
    <w:p w14:paraId="1C065E51"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 xml:space="preserve">Sassafras (Sassafras </w:t>
      </w:r>
      <w:proofErr w:type="spellStart"/>
      <w:r>
        <w:rPr>
          <w:i/>
        </w:rPr>
        <w:t>albidum</w:t>
      </w:r>
      <w:proofErr w:type="spellEnd"/>
      <w:r>
        <w:rPr>
          <w:i/>
        </w:rPr>
        <w:t xml:space="preserve"> [</w:t>
      </w:r>
      <w:proofErr w:type="spellStart"/>
      <w:r>
        <w:rPr>
          <w:i/>
        </w:rPr>
        <w:t>Nutt</w:t>
      </w:r>
      <w:proofErr w:type="spellEnd"/>
      <w:r>
        <w:rPr>
          <w:i/>
        </w:rPr>
        <w:t xml:space="preserve">.] </w:t>
      </w:r>
      <w:proofErr w:type="spellStart"/>
      <w:r>
        <w:rPr>
          <w:i/>
        </w:rPr>
        <w:t>Nees</w:t>
      </w:r>
      <w:proofErr w:type="spellEnd"/>
      <w:r>
        <w:rPr>
          <w:i/>
        </w:rPr>
        <w:t xml:space="preserve">) </w:t>
      </w:r>
    </w:p>
    <w:p w14:paraId="3B5D16FA"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Sabine (</w:t>
      </w:r>
      <w:proofErr w:type="spellStart"/>
      <w:r>
        <w:rPr>
          <w:i/>
        </w:rPr>
        <w:t>Juniperus</w:t>
      </w:r>
      <w:proofErr w:type="spellEnd"/>
      <w:r>
        <w:rPr>
          <w:i/>
        </w:rPr>
        <w:t xml:space="preserve"> </w:t>
      </w:r>
      <w:proofErr w:type="spellStart"/>
      <w:r>
        <w:rPr>
          <w:i/>
        </w:rPr>
        <w:t>sabina</w:t>
      </w:r>
      <w:proofErr w:type="spellEnd"/>
      <w:r>
        <w:rPr>
          <w:i/>
        </w:rPr>
        <w:t xml:space="preserve"> L.) </w:t>
      </w:r>
    </w:p>
    <w:p w14:paraId="7D474E95"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Rue (</w:t>
      </w:r>
      <w:proofErr w:type="spellStart"/>
      <w:r>
        <w:rPr>
          <w:i/>
        </w:rPr>
        <w:t>Ruta</w:t>
      </w:r>
      <w:proofErr w:type="spellEnd"/>
      <w:r>
        <w:rPr>
          <w:i/>
        </w:rPr>
        <w:t xml:space="preserve"> </w:t>
      </w:r>
      <w:proofErr w:type="spellStart"/>
      <w:r>
        <w:rPr>
          <w:i/>
        </w:rPr>
        <w:t>graveolens</w:t>
      </w:r>
      <w:proofErr w:type="spellEnd"/>
      <w:r>
        <w:rPr>
          <w:i/>
        </w:rPr>
        <w:t xml:space="preserve"> L.) </w:t>
      </w:r>
    </w:p>
    <w:p w14:paraId="339E9B32"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Chénopode vermifuge (</w:t>
      </w:r>
      <w:proofErr w:type="spellStart"/>
      <w:r>
        <w:rPr>
          <w:i/>
        </w:rPr>
        <w:t>Chenopodium</w:t>
      </w:r>
      <w:proofErr w:type="spellEnd"/>
      <w:r>
        <w:rPr>
          <w:i/>
        </w:rPr>
        <w:t xml:space="preserve"> </w:t>
      </w:r>
      <w:proofErr w:type="spellStart"/>
      <w:r>
        <w:rPr>
          <w:i/>
        </w:rPr>
        <w:t>ambrosioides</w:t>
      </w:r>
      <w:proofErr w:type="spellEnd"/>
      <w:r>
        <w:rPr>
          <w:i/>
        </w:rPr>
        <w:t xml:space="preserve"> L. et </w:t>
      </w:r>
      <w:proofErr w:type="spellStart"/>
      <w:r>
        <w:rPr>
          <w:i/>
        </w:rPr>
        <w:t>Chenopodium</w:t>
      </w:r>
      <w:proofErr w:type="spellEnd"/>
      <w:r>
        <w:rPr>
          <w:i/>
        </w:rPr>
        <w:t xml:space="preserve"> </w:t>
      </w:r>
      <w:proofErr w:type="spellStart"/>
      <w:r>
        <w:rPr>
          <w:i/>
        </w:rPr>
        <w:t>anthelminticum</w:t>
      </w:r>
      <w:proofErr w:type="spellEnd"/>
      <w:r>
        <w:rPr>
          <w:i/>
        </w:rPr>
        <w:t xml:space="preserve"> L.) </w:t>
      </w:r>
    </w:p>
    <w:p w14:paraId="66B4AABF" w14:textId="77777777" w:rsidR="00093347" w:rsidRDefault="000022DE">
      <w:pPr>
        <w:pBdr>
          <w:top w:val="single" w:sz="4" w:space="1" w:color="000000"/>
          <w:left w:val="single" w:sz="4" w:space="4" w:color="000000"/>
          <w:bottom w:val="single" w:sz="4" w:space="1" w:color="000000"/>
          <w:right w:val="single" w:sz="4" w:space="4" w:color="000000"/>
          <w:between w:val="single" w:sz="4" w:space="1" w:color="000000"/>
        </w:pBdr>
        <w:jc w:val="both"/>
        <w:rPr>
          <w:i/>
        </w:rPr>
      </w:pPr>
      <w:r>
        <w:rPr>
          <w:i/>
        </w:rPr>
        <w:t>Moutarde jonciforme (</w:t>
      </w:r>
      <w:proofErr w:type="spellStart"/>
      <w:r>
        <w:rPr>
          <w:i/>
        </w:rPr>
        <w:t>Brassica</w:t>
      </w:r>
      <w:proofErr w:type="spellEnd"/>
      <w:r>
        <w:rPr>
          <w:i/>
        </w:rPr>
        <w:t xml:space="preserve"> </w:t>
      </w:r>
      <w:proofErr w:type="spellStart"/>
      <w:r>
        <w:rPr>
          <w:i/>
        </w:rPr>
        <w:t>juncea</w:t>
      </w:r>
      <w:proofErr w:type="spellEnd"/>
      <w:r>
        <w:rPr>
          <w:i/>
        </w:rPr>
        <w:t xml:space="preserve"> [L.] </w:t>
      </w:r>
      <w:proofErr w:type="spellStart"/>
      <w:r>
        <w:rPr>
          <w:i/>
        </w:rPr>
        <w:t>Czernj</w:t>
      </w:r>
      <w:proofErr w:type="spellEnd"/>
      <w:r>
        <w:rPr>
          <w:i/>
        </w:rPr>
        <w:t xml:space="preserve">. </w:t>
      </w:r>
      <w:proofErr w:type="gramStart"/>
      <w:r>
        <w:rPr>
          <w:i/>
        </w:rPr>
        <w:t>et</w:t>
      </w:r>
      <w:proofErr w:type="gramEnd"/>
      <w:r>
        <w:rPr>
          <w:i/>
        </w:rPr>
        <w:t xml:space="preserve"> Cosson)</w:t>
      </w:r>
    </w:p>
    <w:p w14:paraId="3C075C92" w14:textId="77777777" w:rsidR="00093347" w:rsidRDefault="00093347">
      <w:pPr>
        <w:pBdr>
          <w:top w:val="nil"/>
          <w:left w:val="nil"/>
          <w:bottom w:val="nil"/>
          <w:right w:val="nil"/>
          <w:between w:val="nil"/>
        </w:pBdr>
        <w:spacing w:after="0"/>
        <w:rPr>
          <w:color w:val="000000"/>
        </w:rPr>
      </w:pPr>
    </w:p>
    <w:p w14:paraId="01771832" w14:textId="77777777" w:rsidR="00D76524" w:rsidRDefault="00D76524">
      <w:pPr>
        <w:rPr>
          <w:i/>
        </w:rPr>
      </w:pPr>
      <w:r>
        <w:rPr>
          <w:i/>
        </w:rPr>
        <w:br w:type="page"/>
      </w:r>
    </w:p>
    <w:p w14:paraId="50E7F0C2" w14:textId="77777777" w:rsidR="0049143F" w:rsidRPr="00040871" w:rsidRDefault="00040871" w:rsidP="00040871">
      <w:pPr>
        <w:pStyle w:val="Paragraphedeliste"/>
        <w:numPr>
          <w:ilvl w:val="0"/>
          <w:numId w:val="11"/>
        </w:numPr>
        <w:spacing w:line="240" w:lineRule="auto"/>
        <w:jc w:val="center"/>
        <w:textAlignment w:val="baseline"/>
        <w:rPr>
          <w:rFonts w:eastAsia="Times New Roman"/>
          <w:b/>
          <w:bCs/>
          <w:color w:val="000000"/>
          <w:sz w:val="24"/>
          <w:szCs w:val="24"/>
        </w:rPr>
      </w:pPr>
      <w:r>
        <w:rPr>
          <w:rFonts w:eastAsia="Times New Roman"/>
          <w:b/>
          <w:bCs/>
          <w:color w:val="000000"/>
          <w:sz w:val="24"/>
          <w:szCs w:val="24"/>
        </w:rPr>
        <w:lastRenderedPageBreak/>
        <w:t xml:space="preserve"> </w:t>
      </w:r>
      <w:r w:rsidR="0049143F" w:rsidRPr="00040871">
        <w:rPr>
          <w:rFonts w:eastAsia="Times New Roman"/>
          <w:b/>
          <w:bCs/>
          <w:color w:val="000000"/>
          <w:sz w:val="24"/>
          <w:szCs w:val="24"/>
        </w:rPr>
        <w:t>COMMENTAIRES DE FORME</w:t>
      </w:r>
    </w:p>
    <w:p w14:paraId="6D0C1DF6" w14:textId="77777777" w:rsidR="0049143F" w:rsidRPr="0049143F" w:rsidRDefault="0049143F" w:rsidP="0049143F">
      <w:pPr>
        <w:spacing w:after="0" w:line="240" w:lineRule="auto"/>
        <w:rPr>
          <w:rFonts w:ascii="Times New Roman" w:eastAsia="Times New Roman" w:hAnsi="Times New Roman" w:cs="Times New Roman"/>
          <w:sz w:val="24"/>
          <w:szCs w:val="24"/>
        </w:rPr>
      </w:pPr>
    </w:p>
    <w:p w14:paraId="04E669B8" w14:textId="77777777" w:rsidR="00040871" w:rsidRPr="00983D66" w:rsidRDefault="00040871" w:rsidP="00040871">
      <w:pPr>
        <w:spacing w:line="240" w:lineRule="auto"/>
        <w:jc w:val="both"/>
        <w:rPr>
          <w:rFonts w:ascii="Times New Roman" w:eastAsia="Times New Roman" w:hAnsi="Times New Roman" w:cs="Times New Roman"/>
          <w:b/>
          <w:sz w:val="24"/>
          <w:szCs w:val="24"/>
        </w:rPr>
      </w:pPr>
      <w:r w:rsidRPr="00983D66">
        <w:rPr>
          <w:rFonts w:eastAsia="Times New Roman"/>
          <w:b/>
          <w:color w:val="000000"/>
        </w:rPr>
        <w:t>Commentaires communs pour les 3 Monographies :</w:t>
      </w:r>
    </w:p>
    <w:p w14:paraId="16727B5B" w14:textId="77777777" w:rsidR="0049143F" w:rsidRPr="00983D66" w:rsidRDefault="0049143F" w:rsidP="00983D66">
      <w:pPr>
        <w:pStyle w:val="Paragraphedeliste"/>
        <w:numPr>
          <w:ilvl w:val="0"/>
          <w:numId w:val="12"/>
        </w:numPr>
        <w:spacing w:line="240" w:lineRule="auto"/>
        <w:jc w:val="both"/>
        <w:rPr>
          <w:rFonts w:eastAsia="Times New Roman"/>
          <w:color w:val="000000"/>
        </w:rPr>
      </w:pPr>
      <w:r w:rsidRPr="00983D66">
        <w:rPr>
          <w:rFonts w:eastAsia="Times New Roman"/>
          <w:color w:val="000000"/>
        </w:rPr>
        <w:t>Nous proposons qu’un rappel soit fait dans chacune des 3 monographies (au niveau du chapitre Définition par exemple) quant à l’obligation que les préparations officinales soient réalisées selon les BPP en vigueur.</w:t>
      </w:r>
    </w:p>
    <w:p w14:paraId="40F31EC9" w14:textId="77777777" w:rsidR="00D76524" w:rsidRDefault="00D76524" w:rsidP="009E2E5F">
      <w:pPr>
        <w:spacing w:line="240" w:lineRule="auto"/>
        <w:jc w:val="both"/>
        <w:rPr>
          <w:rFonts w:eastAsia="Times New Roman"/>
          <w:color w:val="000000"/>
        </w:rPr>
      </w:pPr>
    </w:p>
    <w:p w14:paraId="49F0DEDC" w14:textId="77777777" w:rsidR="009E2E5F" w:rsidRPr="00983D66" w:rsidRDefault="009E2E5F" w:rsidP="00983D66">
      <w:pPr>
        <w:pStyle w:val="Paragraphedeliste"/>
        <w:numPr>
          <w:ilvl w:val="0"/>
          <w:numId w:val="12"/>
        </w:numPr>
        <w:spacing w:line="240" w:lineRule="auto"/>
        <w:jc w:val="both"/>
        <w:rPr>
          <w:rFonts w:ascii="Times New Roman" w:eastAsia="Times New Roman" w:hAnsi="Times New Roman" w:cs="Times New Roman"/>
          <w:sz w:val="24"/>
          <w:szCs w:val="24"/>
        </w:rPr>
      </w:pPr>
      <w:r w:rsidRPr="00983D66">
        <w:rPr>
          <w:rFonts w:eastAsia="Times New Roman"/>
          <w:color w:val="000000"/>
        </w:rPr>
        <w:t>1281, Page 1, Ligne 13 + 1283, Page 1, Ligne 13, nous proposons la modification suivante :</w:t>
      </w:r>
    </w:p>
    <w:p w14:paraId="38A26F98" w14:textId="77777777" w:rsidR="009E2E5F" w:rsidRPr="0049143F" w:rsidRDefault="009E2E5F" w:rsidP="009E2E5F">
      <w:pPr>
        <w:spacing w:line="240" w:lineRule="auto"/>
        <w:jc w:val="both"/>
        <w:rPr>
          <w:rFonts w:ascii="Times New Roman" w:eastAsia="Times New Roman" w:hAnsi="Times New Roman" w:cs="Times New Roman"/>
          <w:sz w:val="24"/>
          <w:szCs w:val="24"/>
        </w:rPr>
      </w:pPr>
      <w:r w:rsidRPr="0049143F">
        <w:rPr>
          <w:rFonts w:eastAsia="Times New Roman"/>
          <w:color w:val="000000"/>
        </w:rPr>
        <w:t xml:space="preserve">“[...] </w:t>
      </w:r>
      <w:r w:rsidRPr="0049143F">
        <w:rPr>
          <w:rFonts w:eastAsia="Times New Roman"/>
          <w:i/>
          <w:iCs/>
          <w:color w:val="000000"/>
        </w:rPr>
        <w:t>qu’aux monographies spécifiques des Pharmacopées européenne ou française ou d’un autre État membre correspondantes. Dans le cas contraire, les HE utilisées devront être conformes aux monographies internes du fournisseur sélectionné conformément aux BPP en vigueur.</w:t>
      </w:r>
    </w:p>
    <w:p w14:paraId="4A9FF39C" w14:textId="77777777" w:rsidR="00D76524" w:rsidRDefault="00D76524" w:rsidP="00040871">
      <w:pPr>
        <w:spacing w:line="240" w:lineRule="auto"/>
        <w:jc w:val="both"/>
        <w:rPr>
          <w:rFonts w:eastAsia="Times New Roman"/>
          <w:color w:val="000000"/>
        </w:rPr>
      </w:pPr>
    </w:p>
    <w:p w14:paraId="755175E5" w14:textId="77777777" w:rsidR="009E2E5F" w:rsidRPr="00983D66" w:rsidRDefault="009E2E5F" w:rsidP="00983D66">
      <w:pPr>
        <w:pStyle w:val="Paragraphedeliste"/>
        <w:numPr>
          <w:ilvl w:val="0"/>
          <w:numId w:val="12"/>
        </w:numPr>
        <w:spacing w:line="240" w:lineRule="auto"/>
        <w:jc w:val="both"/>
        <w:rPr>
          <w:rFonts w:eastAsia="Times New Roman"/>
          <w:color w:val="000000"/>
        </w:rPr>
      </w:pPr>
      <w:r w:rsidRPr="00983D66">
        <w:rPr>
          <w:rFonts w:eastAsia="Times New Roman"/>
          <w:color w:val="000000"/>
        </w:rPr>
        <w:t>1281, Page 1, Ligne 18, nous proposons la modification suivante :</w:t>
      </w:r>
    </w:p>
    <w:p w14:paraId="5124C44E" w14:textId="77777777" w:rsidR="009E2E5F" w:rsidRPr="0049143F" w:rsidRDefault="009E2E5F" w:rsidP="009E2E5F">
      <w:pPr>
        <w:spacing w:line="240" w:lineRule="auto"/>
        <w:jc w:val="both"/>
        <w:rPr>
          <w:rFonts w:ascii="Times New Roman" w:eastAsia="Times New Roman" w:hAnsi="Times New Roman" w:cs="Times New Roman"/>
          <w:sz w:val="24"/>
          <w:szCs w:val="24"/>
        </w:rPr>
      </w:pPr>
      <w:r w:rsidRPr="0049143F">
        <w:rPr>
          <w:rFonts w:eastAsia="Times New Roman"/>
          <w:color w:val="000000"/>
        </w:rPr>
        <w:t xml:space="preserve">“[...] </w:t>
      </w:r>
      <w:r w:rsidRPr="0049143F">
        <w:rPr>
          <w:rFonts w:eastAsia="Times New Roman"/>
          <w:i/>
          <w:iCs/>
          <w:color w:val="000000"/>
        </w:rPr>
        <w:t>des Pharmacopées européenne ou française ou d’un autre État membre correspondantes. Dans le cas contraire, les HE utilisées devront être conformes aux monographies internes du fournisseur sélectionné conformément aux BPP en vigueur.</w:t>
      </w:r>
    </w:p>
    <w:p w14:paraId="0A8BD6C1" w14:textId="77777777" w:rsidR="009E2E5F" w:rsidRDefault="009E2E5F" w:rsidP="00040871">
      <w:pPr>
        <w:spacing w:line="240" w:lineRule="auto"/>
        <w:jc w:val="both"/>
        <w:rPr>
          <w:rFonts w:eastAsia="Times New Roman"/>
          <w:color w:val="000000"/>
        </w:rPr>
      </w:pPr>
    </w:p>
    <w:p w14:paraId="31BA6B9A" w14:textId="77777777" w:rsidR="00040871" w:rsidRPr="00983D66" w:rsidRDefault="009E2E5F" w:rsidP="00983D66">
      <w:pPr>
        <w:pStyle w:val="Paragraphedeliste"/>
        <w:numPr>
          <w:ilvl w:val="0"/>
          <w:numId w:val="12"/>
        </w:numPr>
        <w:spacing w:line="240" w:lineRule="auto"/>
        <w:jc w:val="both"/>
        <w:rPr>
          <w:rFonts w:ascii="Times New Roman" w:eastAsia="Times New Roman" w:hAnsi="Times New Roman" w:cs="Times New Roman"/>
          <w:sz w:val="24"/>
          <w:szCs w:val="24"/>
        </w:rPr>
      </w:pPr>
      <w:r w:rsidRPr="00983D66">
        <w:rPr>
          <w:rFonts w:eastAsia="Times New Roman"/>
          <w:color w:val="000000"/>
        </w:rPr>
        <w:t>N</w:t>
      </w:r>
      <w:r w:rsidR="00040871" w:rsidRPr="00983D66">
        <w:rPr>
          <w:rFonts w:eastAsia="Times New Roman"/>
          <w:color w:val="000000"/>
        </w:rPr>
        <w:t xml:space="preserve">ous </w:t>
      </w:r>
      <w:r w:rsidRPr="00983D66">
        <w:rPr>
          <w:rFonts w:eastAsia="Times New Roman"/>
          <w:color w:val="000000"/>
        </w:rPr>
        <w:t xml:space="preserve">proposons </w:t>
      </w:r>
      <w:r w:rsidR="00040871" w:rsidRPr="00983D66">
        <w:rPr>
          <w:rFonts w:eastAsia="Times New Roman"/>
          <w:color w:val="000000"/>
        </w:rPr>
        <w:t>de modifier :</w:t>
      </w:r>
    </w:p>
    <w:p w14:paraId="57BEC358" w14:textId="77777777" w:rsidR="00040871" w:rsidRPr="00575CCA" w:rsidRDefault="00040871" w:rsidP="00040871">
      <w:pPr>
        <w:spacing w:line="240" w:lineRule="auto"/>
        <w:jc w:val="both"/>
        <w:rPr>
          <w:rFonts w:eastAsia="Times New Roman"/>
          <w:i/>
          <w:iCs/>
          <w:color w:val="000000"/>
        </w:rPr>
      </w:pPr>
      <w:r w:rsidRPr="00575CCA">
        <w:rPr>
          <w:rFonts w:eastAsia="Times New Roman"/>
          <w:i/>
          <w:iCs/>
          <w:color w:val="000000"/>
        </w:rPr>
        <w:t xml:space="preserve"> </w:t>
      </w:r>
      <w:r w:rsidRPr="00575CCA">
        <w:rPr>
          <w:rFonts w:eastAsia="Times New Roman"/>
          <w:iCs/>
          <w:color w:val="000000"/>
        </w:rPr>
        <w:t>Lavande officinale</w:t>
      </w:r>
      <w:r w:rsidRPr="00575CCA">
        <w:rPr>
          <w:rFonts w:eastAsia="Times New Roman"/>
          <w:i/>
          <w:iCs/>
          <w:color w:val="000000"/>
        </w:rPr>
        <w:t xml:space="preserve"> (</w:t>
      </w:r>
      <w:proofErr w:type="spellStart"/>
      <w:r w:rsidRPr="00575CCA">
        <w:rPr>
          <w:rFonts w:eastAsia="Times New Roman"/>
          <w:i/>
          <w:iCs/>
          <w:color w:val="000000"/>
        </w:rPr>
        <w:t>Lavandula</w:t>
      </w:r>
      <w:proofErr w:type="spellEnd"/>
      <w:r w:rsidRPr="00575CCA">
        <w:rPr>
          <w:rFonts w:eastAsia="Times New Roman"/>
          <w:i/>
          <w:iCs/>
          <w:color w:val="000000"/>
        </w:rPr>
        <w:t xml:space="preserve"> </w:t>
      </w:r>
      <w:proofErr w:type="spellStart"/>
      <w:r w:rsidRPr="00575CCA">
        <w:rPr>
          <w:rFonts w:eastAsia="Times New Roman"/>
          <w:i/>
          <w:iCs/>
          <w:color w:val="000000"/>
        </w:rPr>
        <w:t>angustifolia</w:t>
      </w:r>
      <w:proofErr w:type="spellEnd"/>
      <w:r w:rsidRPr="00575CCA">
        <w:rPr>
          <w:rFonts w:eastAsia="Times New Roman"/>
          <w:i/>
          <w:iCs/>
          <w:color w:val="000000"/>
        </w:rPr>
        <w:t xml:space="preserve"> </w:t>
      </w:r>
      <w:r w:rsidRPr="00575CCA">
        <w:rPr>
          <w:rFonts w:eastAsia="Times New Roman"/>
          <w:iCs/>
          <w:color w:val="000000"/>
        </w:rPr>
        <w:t>Mill</w:t>
      </w:r>
      <w:r w:rsidRPr="00575CCA">
        <w:rPr>
          <w:rFonts w:eastAsia="Times New Roman"/>
          <w:i/>
          <w:iCs/>
          <w:color w:val="000000"/>
        </w:rPr>
        <w:t xml:space="preserve">. = L. </w:t>
      </w:r>
      <w:proofErr w:type="spellStart"/>
      <w:r w:rsidRPr="00575CCA">
        <w:rPr>
          <w:rFonts w:eastAsia="Times New Roman"/>
          <w:i/>
          <w:iCs/>
          <w:color w:val="000000"/>
        </w:rPr>
        <w:t>officinalis</w:t>
      </w:r>
      <w:proofErr w:type="spellEnd"/>
      <w:r w:rsidRPr="00575CCA">
        <w:rPr>
          <w:rFonts w:eastAsia="Times New Roman"/>
          <w:i/>
          <w:iCs/>
          <w:color w:val="000000"/>
        </w:rPr>
        <w:t xml:space="preserve"> </w:t>
      </w:r>
      <w:r w:rsidRPr="00575CCA">
        <w:rPr>
          <w:rFonts w:eastAsia="Times New Roman"/>
          <w:iCs/>
          <w:color w:val="000000"/>
        </w:rPr>
        <w:t>Chaix)</w:t>
      </w:r>
      <w:r w:rsidRPr="00575CCA">
        <w:rPr>
          <w:rFonts w:eastAsia="Times New Roman"/>
          <w:i/>
          <w:iCs/>
          <w:color w:val="000000"/>
        </w:rPr>
        <w:t>, sommités fleuries</w:t>
      </w:r>
    </w:p>
    <w:p w14:paraId="4C58DCFC" w14:textId="77777777" w:rsidR="00040871" w:rsidRPr="00575CCA" w:rsidRDefault="00040871" w:rsidP="00040871">
      <w:pPr>
        <w:spacing w:line="240" w:lineRule="auto"/>
        <w:jc w:val="both"/>
        <w:rPr>
          <w:rFonts w:eastAsia="Times New Roman"/>
          <w:iCs/>
          <w:color w:val="000000"/>
        </w:rPr>
      </w:pPr>
      <w:proofErr w:type="gramStart"/>
      <w:r w:rsidRPr="00575CCA">
        <w:rPr>
          <w:rFonts w:eastAsia="Times New Roman"/>
          <w:iCs/>
          <w:color w:val="000000"/>
        </w:rPr>
        <w:t>par</w:t>
      </w:r>
      <w:proofErr w:type="gramEnd"/>
      <w:r w:rsidRPr="00575CCA">
        <w:rPr>
          <w:rFonts w:eastAsia="Times New Roman"/>
          <w:iCs/>
          <w:color w:val="000000"/>
        </w:rPr>
        <w:t> :</w:t>
      </w:r>
    </w:p>
    <w:p w14:paraId="08229D78" w14:textId="77777777" w:rsidR="00040871" w:rsidRPr="0049143F" w:rsidRDefault="00040871" w:rsidP="00040871">
      <w:pPr>
        <w:spacing w:line="240" w:lineRule="auto"/>
        <w:jc w:val="both"/>
        <w:rPr>
          <w:rFonts w:ascii="Times New Roman" w:eastAsia="Times New Roman" w:hAnsi="Times New Roman" w:cs="Times New Roman"/>
          <w:sz w:val="24"/>
          <w:szCs w:val="24"/>
        </w:rPr>
      </w:pPr>
      <w:r w:rsidRPr="00575CCA">
        <w:rPr>
          <w:rFonts w:eastAsia="Times New Roman"/>
          <w:i/>
          <w:iCs/>
          <w:color w:val="000000"/>
        </w:rPr>
        <w:t xml:space="preserve"> </w:t>
      </w:r>
      <w:r w:rsidRPr="00575CCA">
        <w:rPr>
          <w:rFonts w:eastAsia="Times New Roman"/>
          <w:iCs/>
          <w:color w:val="000000"/>
        </w:rPr>
        <w:t>Lavande officinale</w:t>
      </w:r>
      <w:r>
        <w:rPr>
          <w:rFonts w:eastAsia="Times New Roman"/>
          <w:i/>
          <w:iCs/>
          <w:color w:val="000000"/>
        </w:rPr>
        <w:t xml:space="preserve"> (</w:t>
      </w:r>
      <w:proofErr w:type="spellStart"/>
      <w:r>
        <w:rPr>
          <w:rFonts w:eastAsia="Times New Roman"/>
          <w:i/>
          <w:iCs/>
          <w:color w:val="000000"/>
        </w:rPr>
        <w:t>Lavandula</w:t>
      </w:r>
      <w:proofErr w:type="spellEnd"/>
      <w:r>
        <w:rPr>
          <w:rFonts w:eastAsia="Times New Roman"/>
          <w:i/>
          <w:iCs/>
          <w:color w:val="000000"/>
        </w:rPr>
        <w:t xml:space="preserve"> </w:t>
      </w:r>
      <w:proofErr w:type="spellStart"/>
      <w:r>
        <w:rPr>
          <w:rFonts w:eastAsia="Times New Roman"/>
          <w:i/>
          <w:iCs/>
          <w:color w:val="000000"/>
        </w:rPr>
        <w:t>angustifolia</w:t>
      </w:r>
      <w:proofErr w:type="spellEnd"/>
      <w:r>
        <w:rPr>
          <w:rFonts w:eastAsia="Times New Roman"/>
          <w:i/>
          <w:iCs/>
          <w:color w:val="000000"/>
        </w:rPr>
        <w:t xml:space="preserve"> </w:t>
      </w:r>
      <w:r w:rsidRPr="00F0291B">
        <w:rPr>
          <w:rFonts w:eastAsia="Times New Roman"/>
          <w:iCs/>
          <w:color w:val="000000"/>
        </w:rPr>
        <w:t>Mill</w:t>
      </w:r>
      <w:r>
        <w:rPr>
          <w:rFonts w:eastAsia="Times New Roman"/>
          <w:i/>
          <w:iCs/>
          <w:color w:val="000000"/>
        </w:rPr>
        <w:t xml:space="preserve">. = L. </w:t>
      </w:r>
      <w:proofErr w:type="spellStart"/>
      <w:r>
        <w:rPr>
          <w:rFonts w:eastAsia="Times New Roman"/>
          <w:i/>
          <w:iCs/>
          <w:color w:val="000000"/>
        </w:rPr>
        <w:t>officinalis</w:t>
      </w:r>
      <w:proofErr w:type="spellEnd"/>
      <w:r>
        <w:rPr>
          <w:rFonts w:eastAsia="Times New Roman"/>
          <w:i/>
          <w:iCs/>
          <w:color w:val="000000"/>
        </w:rPr>
        <w:t xml:space="preserve"> </w:t>
      </w:r>
      <w:r w:rsidRPr="00F0291B">
        <w:rPr>
          <w:rFonts w:eastAsia="Times New Roman"/>
          <w:iCs/>
          <w:color w:val="000000"/>
        </w:rPr>
        <w:t>Chaix</w:t>
      </w:r>
      <w:r>
        <w:rPr>
          <w:rFonts w:eastAsia="Times New Roman"/>
          <w:i/>
          <w:iCs/>
          <w:color w:val="000000"/>
        </w:rPr>
        <w:t xml:space="preserve"> = </w:t>
      </w:r>
      <w:r w:rsidRPr="0049143F">
        <w:rPr>
          <w:rFonts w:eastAsia="Times New Roman"/>
          <w:i/>
          <w:iCs/>
          <w:color w:val="000000"/>
        </w:rPr>
        <w:t>L</w:t>
      </w:r>
      <w:r>
        <w:rPr>
          <w:rFonts w:eastAsia="Times New Roman"/>
          <w:i/>
          <w:iCs/>
          <w:color w:val="000000"/>
        </w:rPr>
        <w:t>.</w:t>
      </w:r>
      <w:r w:rsidRPr="0049143F">
        <w:rPr>
          <w:rFonts w:eastAsia="Times New Roman"/>
          <w:i/>
          <w:iCs/>
          <w:color w:val="000000"/>
        </w:rPr>
        <w:t xml:space="preserve"> </w:t>
      </w:r>
      <w:proofErr w:type="spellStart"/>
      <w:r w:rsidRPr="0049143F">
        <w:rPr>
          <w:rFonts w:eastAsia="Times New Roman"/>
          <w:i/>
          <w:iCs/>
          <w:color w:val="000000"/>
        </w:rPr>
        <w:t>vera</w:t>
      </w:r>
      <w:proofErr w:type="spellEnd"/>
      <w:r w:rsidRPr="00F0291B">
        <w:rPr>
          <w:rFonts w:eastAsia="Times New Roman"/>
          <w:iCs/>
          <w:color w:val="000000"/>
        </w:rPr>
        <w:t>)</w:t>
      </w:r>
      <w:r>
        <w:rPr>
          <w:rFonts w:eastAsia="Times New Roman"/>
          <w:i/>
          <w:iCs/>
          <w:color w:val="000000"/>
        </w:rPr>
        <w:t>, sommités fleuries</w:t>
      </w:r>
    </w:p>
    <w:p w14:paraId="32FFC9FA" w14:textId="77777777" w:rsidR="00040871" w:rsidRDefault="00040871" w:rsidP="0049143F">
      <w:pPr>
        <w:spacing w:line="240" w:lineRule="auto"/>
        <w:jc w:val="both"/>
        <w:rPr>
          <w:rFonts w:ascii="Times New Roman" w:eastAsia="Times New Roman" w:hAnsi="Times New Roman" w:cs="Times New Roman"/>
          <w:sz w:val="24"/>
          <w:szCs w:val="24"/>
        </w:rPr>
      </w:pPr>
    </w:p>
    <w:p w14:paraId="19F45D4E" w14:textId="77777777" w:rsidR="0049143F" w:rsidRPr="00983D66" w:rsidRDefault="00040871" w:rsidP="0049143F">
      <w:pPr>
        <w:spacing w:line="240" w:lineRule="auto"/>
        <w:jc w:val="both"/>
        <w:rPr>
          <w:rFonts w:ascii="Times New Roman" w:eastAsia="Times New Roman" w:hAnsi="Times New Roman" w:cs="Times New Roman"/>
          <w:b/>
          <w:sz w:val="24"/>
          <w:szCs w:val="24"/>
        </w:rPr>
      </w:pPr>
      <w:r w:rsidRPr="00983D66">
        <w:rPr>
          <w:rFonts w:eastAsia="Times New Roman"/>
          <w:b/>
          <w:color w:val="000000"/>
        </w:rPr>
        <w:t>Commentaires de forme spécifique</w:t>
      </w:r>
      <w:r w:rsidR="00D76524">
        <w:rPr>
          <w:rFonts w:eastAsia="Times New Roman"/>
          <w:b/>
          <w:color w:val="000000"/>
        </w:rPr>
        <w:t>s</w:t>
      </w:r>
      <w:r w:rsidRPr="00983D66">
        <w:rPr>
          <w:rFonts w:eastAsia="Times New Roman"/>
          <w:b/>
          <w:color w:val="000000"/>
        </w:rPr>
        <w:t xml:space="preserve"> à la </w:t>
      </w:r>
      <w:r w:rsidR="0049143F" w:rsidRPr="00983D66">
        <w:rPr>
          <w:rFonts w:eastAsia="Times New Roman"/>
          <w:b/>
          <w:color w:val="000000"/>
        </w:rPr>
        <w:t>Monographie 1281 :</w:t>
      </w:r>
    </w:p>
    <w:p w14:paraId="4EAC38E0" w14:textId="77777777" w:rsidR="0049143F" w:rsidRPr="00983D66" w:rsidRDefault="0049143F" w:rsidP="00983D66">
      <w:pPr>
        <w:pStyle w:val="Paragraphedeliste"/>
        <w:numPr>
          <w:ilvl w:val="0"/>
          <w:numId w:val="12"/>
        </w:numPr>
        <w:spacing w:line="240" w:lineRule="auto"/>
        <w:jc w:val="both"/>
        <w:rPr>
          <w:rFonts w:ascii="Times New Roman" w:eastAsia="Times New Roman" w:hAnsi="Times New Roman" w:cs="Times New Roman"/>
          <w:sz w:val="24"/>
          <w:szCs w:val="24"/>
        </w:rPr>
      </w:pPr>
      <w:r w:rsidRPr="00983D66">
        <w:rPr>
          <w:rFonts w:eastAsia="Times New Roman"/>
          <w:color w:val="000000"/>
        </w:rPr>
        <w:t xml:space="preserve">Page 1, Lignes 13 et 14 : </w:t>
      </w:r>
      <w:r>
        <w:t>Nous proposons que le n° de la monographie Huiles grasses végétales soit précisé : 1579</w:t>
      </w:r>
    </w:p>
    <w:p w14:paraId="400EC46A" w14:textId="77777777" w:rsidR="0049143F" w:rsidRPr="0049143F" w:rsidRDefault="0049143F" w:rsidP="0049143F">
      <w:pPr>
        <w:spacing w:after="0" w:line="240" w:lineRule="auto"/>
        <w:rPr>
          <w:rFonts w:ascii="Times New Roman" w:eastAsia="Times New Roman" w:hAnsi="Times New Roman" w:cs="Times New Roman"/>
          <w:sz w:val="24"/>
          <w:szCs w:val="24"/>
        </w:rPr>
      </w:pPr>
    </w:p>
    <w:p w14:paraId="1191E496" w14:textId="77777777" w:rsidR="0049143F" w:rsidRPr="00983D66" w:rsidRDefault="0049143F" w:rsidP="00983D66">
      <w:pPr>
        <w:pStyle w:val="Paragraphedeliste"/>
        <w:numPr>
          <w:ilvl w:val="0"/>
          <w:numId w:val="12"/>
        </w:numPr>
        <w:spacing w:line="240" w:lineRule="auto"/>
        <w:jc w:val="both"/>
        <w:rPr>
          <w:rFonts w:ascii="Times New Roman" w:eastAsia="Times New Roman" w:hAnsi="Times New Roman" w:cs="Times New Roman"/>
          <w:sz w:val="24"/>
          <w:szCs w:val="24"/>
        </w:rPr>
      </w:pPr>
      <w:r w:rsidRPr="00983D66">
        <w:rPr>
          <w:rFonts w:eastAsia="Times New Roman"/>
          <w:color w:val="000000"/>
        </w:rPr>
        <w:t>Page 3, Lignes 27 et 28, nous proposons la modification suivante :</w:t>
      </w:r>
    </w:p>
    <w:p w14:paraId="24FB0C4F" w14:textId="77777777" w:rsidR="0049143F" w:rsidRPr="0049143F" w:rsidRDefault="000D0400" w:rsidP="0049143F">
      <w:pPr>
        <w:spacing w:line="240" w:lineRule="auto"/>
        <w:jc w:val="both"/>
        <w:rPr>
          <w:rFonts w:ascii="Times New Roman" w:eastAsia="Times New Roman" w:hAnsi="Times New Roman" w:cs="Times New Roman"/>
          <w:sz w:val="24"/>
          <w:szCs w:val="24"/>
        </w:rPr>
      </w:pPr>
      <w:r w:rsidRPr="0049143F">
        <w:rPr>
          <w:rFonts w:eastAsia="Times New Roman"/>
          <w:i/>
          <w:iCs/>
          <w:color w:val="000000"/>
        </w:rPr>
        <w:t>La</w:t>
      </w:r>
      <w:r w:rsidR="0049143F" w:rsidRPr="0049143F">
        <w:rPr>
          <w:rFonts w:eastAsia="Times New Roman"/>
          <w:i/>
          <w:iCs/>
          <w:color w:val="000000"/>
        </w:rPr>
        <w:t xml:space="preserve"> quantité de chaque huile essentielle exprimée en milligrammes et en pourcentage m/v dans le volume total de solution en millilitres</w:t>
      </w:r>
    </w:p>
    <w:p w14:paraId="4E1406EB" w14:textId="77777777" w:rsidR="0049143F" w:rsidRPr="00983D66" w:rsidRDefault="0049143F" w:rsidP="00983D66">
      <w:pPr>
        <w:pStyle w:val="Paragraphedeliste"/>
        <w:numPr>
          <w:ilvl w:val="0"/>
          <w:numId w:val="12"/>
        </w:numPr>
        <w:spacing w:line="240" w:lineRule="auto"/>
        <w:jc w:val="both"/>
        <w:rPr>
          <w:rFonts w:ascii="Times New Roman" w:eastAsia="Times New Roman" w:hAnsi="Times New Roman" w:cs="Times New Roman"/>
          <w:sz w:val="24"/>
          <w:szCs w:val="24"/>
        </w:rPr>
      </w:pPr>
      <w:r w:rsidRPr="00983D66">
        <w:rPr>
          <w:rFonts w:eastAsia="Times New Roman"/>
          <w:color w:val="000000"/>
        </w:rPr>
        <w:t>Page 3, Ligne</w:t>
      </w:r>
      <w:r w:rsidR="00575CCA">
        <w:rPr>
          <w:rFonts w:eastAsia="Times New Roman"/>
          <w:color w:val="000000"/>
        </w:rPr>
        <w:t>s</w:t>
      </w:r>
      <w:r w:rsidRPr="00983D66">
        <w:rPr>
          <w:rFonts w:eastAsia="Times New Roman"/>
          <w:color w:val="000000"/>
        </w:rPr>
        <w:t xml:space="preserve"> 29</w:t>
      </w:r>
      <w:r w:rsidR="00575CCA">
        <w:rPr>
          <w:rFonts w:eastAsia="Times New Roman"/>
          <w:color w:val="000000"/>
        </w:rPr>
        <w:t xml:space="preserve"> et 30</w:t>
      </w:r>
      <w:r w:rsidRPr="00983D66">
        <w:rPr>
          <w:rFonts w:eastAsia="Times New Roman"/>
          <w:color w:val="000000"/>
        </w:rPr>
        <w:t>, nous proposons la modification suivante :</w:t>
      </w:r>
    </w:p>
    <w:p w14:paraId="715A4580" w14:textId="77777777" w:rsidR="0049143F" w:rsidRPr="00575CCA" w:rsidRDefault="0049143F" w:rsidP="00F0291B">
      <w:pPr>
        <w:pStyle w:val="Paragraphedeliste"/>
        <w:numPr>
          <w:ilvl w:val="0"/>
          <w:numId w:val="10"/>
        </w:numPr>
        <w:spacing w:line="240" w:lineRule="auto"/>
        <w:jc w:val="both"/>
        <w:rPr>
          <w:rFonts w:ascii="Times New Roman" w:eastAsia="Times New Roman" w:hAnsi="Times New Roman" w:cs="Times New Roman"/>
          <w:sz w:val="24"/>
          <w:szCs w:val="24"/>
        </w:rPr>
      </w:pPr>
      <w:proofErr w:type="gramStart"/>
      <w:r w:rsidRPr="00575CCA">
        <w:rPr>
          <w:rFonts w:eastAsia="Times New Roman"/>
          <w:iCs/>
          <w:color w:val="000000"/>
        </w:rPr>
        <w:t>la</w:t>
      </w:r>
      <w:proofErr w:type="gramEnd"/>
      <w:r w:rsidRPr="00575CCA">
        <w:rPr>
          <w:rFonts w:eastAsia="Times New Roman"/>
          <w:iCs/>
          <w:color w:val="000000"/>
        </w:rPr>
        <w:t xml:space="preserve"> forme pharmaceutique</w:t>
      </w:r>
      <w:r w:rsidRPr="00F0291B">
        <w:rPr>
          <w:rFonts w:eastAsia="Times New Roman"/>
          <w:i/>
          <w:iCs/>
          <w:color w:val="000000"/>
        </w:rPr>
        <w:t xml:space="preserve"> (“solution buvable" </w:t>
      </w:r>
      <w:r w:rsidR="00575CCA">
        <w:rPr>
          <w:rFonts w:eastAsia="Times New Roman"/>
          <w:i/>
          <w:iCs/>
          <w:color w:val="000000"/>
        </w:rPr>
        <w:t xml:space="preserve">ou </w:t>
      </w:r>
      <w:r w:rsidR="00575CCA" w:rsidRPr="00F0291B">
        <w:rPr>
          <w:rFonts w:eastAsia="Times New Roman"/>
          <w:i/>
          <w:iCs/>
          <w:color w:val="000000"/>
        </w:rPr>
        <w:t>“s</w:t>
      </w:r>
      <w:r w:rsidR="00575CCA">
        <w:rPr>
          <w:rFonts w:eastAsia="Times New Roman"/>
          <w:i/>
          <w:iCs/>
          <w:color w:val="000000"/>
        </w:rPr>
        <w:t>uspens</w:t>
      </w:r>
      <w:r w:rsidR="00575CCA" w:rsidRPr="00F0291B">
        <w:rPr>
          <w:rFonts w:eastAsia="Times New Roman"/>
          <w:i/>
          <w:iCs/>
          <w:color w:val="000000"/>
        </w:rPr>
        <w:t xml:space="preserve">ion buvable" </w:t>
      </w:r>
      <w:r w:rsidRPr="00F0291B">
        <w:rPr>
          <w:rFonts w:eastAsia="Times New Roman"/>
          <w:i/>
          <w:iCs/>
          <w:color w:val="000000"/>
        </w:rPr>
        <w:t>ou “gélules”</w:t>
      </w:r>
      <w:r w:rsidR="00575CCA">
        <w:rPr>
          <w:rFonts w:eastAsia="Times New Roman"/>
          <w:i/>
          <w:iCs/>
          <w:color w:val="000000"/>
        </w:rPr>
        <w:t xml:space="preserve"> ou « suppositoires » ou « ovules »</w:t>
      </w:r>
      <w:r w:rsidRPr="00F0291B">
        <w:rPr>
          <w:rFonts w:eastAsia="Times New Roman"/>
          <w:i/>
          <w:iCs/>
          <w:color w:val="000000"/>
        </w:rPr>
        <w:t>)</w:t>
      </w:r>
    </w:p>
    <w:p w14:paraId="2F29416D" w14:textId="77777777" w:rsidR="00575CCA" w:rsidRPr="00575CCA" w:rsidRDefault="00575CCA" w:rsidP="00F0291B">
      <w:pPr>
        <w:pStyle w:val="Paragraphedeliste"/>
        <w:numPr>
          <w:ilvl w:val="0"/>
          <w:numId w:val="10"/>
        </w:numPr>
        <w:spacing w:line="240" w:lineRule="auto"/>
        <w:jc w:val="both"/>
        <w:rPr>
          <w:rFonts w:asciiTheme="minorHAnsi" w:eastAsia="Times New Roman" w:hAnsiTheme="minorHAnsi" w:cstheme="minorHAnsi"/>
        </w:rPr>
      </w:pPr>
      <w:proofErr w:type="gramStart"/>
      <w:r w:rsidRPr="00575CCA">
        <w:rPr>
          <w:rFonts w:asciiTheme="minorHAnsi" w:eastAsia="Times New Roman" w:hAnsiTheme="minorHAnsi" w:cstheme="minorHAnsi"/>
        </w:rPr>
        <w:t>la</w:t>
      </w:r>
      <w:proofErr w:type="gramEnd"/>
      <w:r w:rsidRPr="00575CCA">
        <w:rPr>
          <w:rFonts w:asciiTheme="minorHAnsi" w:eastAsia="Times New Roman" w:hAnsiTheme="minorHAnsi" w:cstheme="minorHAnsi"/>
        </w:rPr>
        <w:t xml:space="preserve"> voie</w:t>
      </w:r>
      <w:r>
        <w:rPr>
          <w:rFonts w:asciiTheme="minorHAnsi" w:eastAsia="Times New Roman" w:hAnsiTheme="minorHAnsi" w:cstheme="minorHAnsi"/>
        </w:rPr>
        <w:t xml:space="preserve"> d’administration « voie orale » ou « voie rectale » ou « voie vaginale »</w:t>
      </w:r>
    </w:p>
    <w:p w14:paraId="5CBFCB3D" w14:textId="77777777" w:rsidR="00D76524" w:rsidRPr="00F0291B" w:rsidRDefault="00D76524" w:rsidP="00983D66">
      <w:pPr>
        <w:pStyle w:val="Paragraphedeliste"/>
        <w:spacing w:line="240" w:lineRule="auto"/>
        <w:jc w:val="both"/>
        <w:rPr>
          <w:rFonts w:ascii="Times New Roman" w:eastAsia="Times New Roman" w:hAnsi="Times New Roman" w:cs="Times New Roman"/>
          <w:sz w:val="24"/>
          <w:szCs w:val="24"/>
        </w:rPr>
      </w:pPr>
    </w:p>
    <w:p w14:paraId="44E4B86E" w14:textId="77777777" w:rsidR="0049143F" w:rsidRPr="00983D66" w:rsidRDefault="0049143F" w:rsidP="00983D66">
      <w:pPr>
        <w:pStyle w:val="Paragraphedeliste"/>
        <w:numPr>
          <w:ilvl w:val="0"/>
          <w:numId w:val="12"/>
        </w:numPr>
        <w:spacing w:line="240" w:lineRule="auto"/>
        <w:jc w:val="both"/>
        <w:rPr>
          <w:rFonts w:ascii="Times New Roman" w:eastAsia="Times New Roman" w:hAnsi="Times New Roman" w:cs="Times New Roman"/>
          <w:sz w:val="24"/>
          <w:szCs w:val="24"/>
        </w:rPr>
      </w:pPr>
      <w:r w:rsidRPr="00983D66">
        <w:rPr>
          <w:rFonts w:eastAsia="Times New Roman"/>
          <w:color w:val="000000"/>
        </w:rPr>
        <w:t>Page 3, Ligne 31, nous proposons l’ajout de la contre-étiquette suivante pour les suspensions :</w:t>
      </w:r>
    </w:p>
    <w:p w14:paraId="15842290" w14:textId="77777777" w:rsidR="0049143F" w:rsidRPr="00F0291B" w:rsidRDefault="0049143F" w:rsidP="00F0291B">
      <w:pPr>
        <w:pStyle w:val="Paragraphedeliste"/>
        <w:numPr>
          <w:ilvl w:val="0"/>
          <w:numId w:val="10"/>
        </w:numPr>
        <w:spacing w:line="240" w:lineRule="auto"/>
        <w:jc w:val="both"/>
        <w:rPr>
          <w:rFonts w:ascii="Times New Roman" w:eastAsia="Times New Roman" w:hAnsi="Times New Roman" w:cs="Times New Roman"/>
          <w:sz w:val="24"/>
          <w:szCs w:val="24"/>
        </w:rPr>
      </w:pPr>
      <w:proofErr w:type="gramStart"/>
      <w:r w:rsidRPr="00F0291B">
        <w:rPr>
          <w:rFonts w:eastAsia="Times New Roman"/>
          <w:i/>
          <w:iCs/>
          <w:color w:val="000000"/>
        </w:rPr>
        <w:t>agiter</w:t>
      </w:r>
      <w:proofErr w:type="gramEnd"/>
      <w:r w:rsidRPr="00F0291B">
        <w:rPr>
          <w:rFonts w:eastAsia="Times New Roman"/>
          <w:i/>
          <w:iCs/>
          <w:color w:val="000000"/>
        </w:rPr>
        <w:t xml:space="preserve"> avant emploi </w:t>
      </w:r>
    </w:p>
    <w:p w14:paraId="092EB68C" w14:textId="77777777" w:rsidR="00040871" w:rsidRPr="00983D66" w:rsidRDefault="00040871" w:rsidP="00040871">
      <w:pPr>
        <w:spacing w:line="240" w:lineRule="auto"/>
        <w:jc w:val="both"/>
        <w:rPr>
          <w:rFonts w:ascii="Times New Roman" w:eastAsia="Times New Roman" w:hAnsi="Times New Roman" w:cs="Times New Roman"/>
          <w:b/>
          <w:sz w:val="24"/>
          <w:szCs w:val="24"/>
        </w:rPr>
      </w:pPr>
      <w:r w:rsidRPr="00983D66">
        <w:rPr>
          <w:rFonts w:eastAsia="Times New Roman"/>
          <w:b/>
          <w:color w:val="000000"/>
        </w:rPr>
        <w:t>Commentaires de forme spécifique</w:t>
      </w:r>
      <w:r w:rsidR="00D76524">
        <w:rPr>
          <w:rFonts w:eastAsia="Times New Roman"/>
          <w:b/>
          <w:color w:val="000000"/>
        </w:rPr>
        <w:t>s</w:t>
      </w:r>
      <w:r w:rsidRPr="00983D66">
        <w:rPr>
          <w:rFonts w:eastAsia="Times New Roman"/>
          <w:b/>
          <w:color w:val="000000"/>
        </w:rPr>
        <w:t xml:space="preserve"> à la Monographie 128</w:t>
      </w:r>
      <w:r w:rsidR="00D76524" w:rsidRPr="00983D66">
        <w:rPr>
          <w:rFonts w:eastAsia="Times New Roman"/>
          <w:b/>
          <w:color w:val="000000"/>
        </w:rPr>
        <w:t>2</w:t>
      </w:r>
      <w:r w:rsidRPr="00983D66">
        <w:rPr>
          <w:rFonts w:eastAsia="Times New Roman"/>
          <w:b/>
          <w:color w:val="000000"/>
        </w:rPr>
        <w:t xml:space="preserve"> :</w:t>
      </w:r>
    </w:p>
    <w:p w14:paraId="601DD03B" w14:textId="77777777" w:rsidR="000022DE" w:rsidRDefault="000022DE" w:rsidP="00983D66">
      <w:pPr>
        <w:pStyle w:val="Paragraphedeliste"/>
        <w:numPr>
          <w:ilvl w:val="0"/>
          <w:numId w:val="12"/>
        </w:numPr>
        <w:spacing w:after="0"/>
        <w:jc w:val="both"/>
      </w:pPr>
      <w:r>
        <w:lastRenderedPageBreak/>
        <w:t>Annexe 4</w:t>
      </w:r>
      <w:r w:rsidR="00040871">
        <w:t xml:space="preserve"> </w:t>
      </w:r>
      <w:r>
        <w:t>:</w:t>
      </w:r>
    </w:p>
    <w:p w14:paraId="72CA4A30" w14:textId="77777777" w:rsidR="000022DE" w:rsidRDefault="00F0291B" w:rsidP="000022DE">
      <w:pPr>
        <w:spacing w:after="0"/>
        <w:jc w:val="both"/>
        <w:rPr>
          <w:color w:val="000000"/>
        </w:rPr>
      </w:pPr>
      <w:r>
        <w:rPr>
          <w:color w:val="000000"/>
        </w:rPr>
        <w:t>À</w:t>
      </w:r>
      <w:r w:rsidR="000022DE">
        <w:rPr>
          <w:color w:val="000000"/>
        </w:rPr>
        <w:t xml:space="preserve"> l’instar des 2 autres monographies, nous proposons l'ajout d’une précaution d’emploi</w:t>
      </w:r>
      <w:r>
        <w:rPr>
          <w:color w:val="000000"/>
        </w:rPr>
        <w:t xml:space="preserve"> par rapport au risque de p</w:t>
      </w:r>
      <w:r>
        <w:t>hotosensibilisation</w:t>
      </w:r>
      <w:r w:rsidR="000022DE">
        <w:rPr>
          <w:color w:val="000000"/>
        </w:rPr>
        <w:t xml:space="preserve">, étant donné que </w:t>
      </w:r>
      <w:r>
        <w:rPr>
          <w:color w:val="000000"/>
        </w:rPr>
        <w:t>d</w:t>
      </w:r>
      <w:r w:rsidR="000022DE">
        <w:rPr>
          <w:color w:val="000000"/>
        </w:rPr>
        <w:t xml:space="preserve">es composés de type </w:t>
      </w:r>
      <w:proofErr w:type="spellStart"/>
      <w:r w:rsidR="000022DE">
        <w:rPr>
          <w:color w:val="000000"/>
        </w:rPr>
        <w:t>furocoumarines</w:t>
      </w:r>
      <w:proofErr w:type="spellEnd"/>
      <w:r w:rsidR="000022DE">
        <w:rPr>
          <w:color w:val="000000"/>
        </w:rPr>
        <w:t xml:space="preserve">, le limonène, etc., ainsi que le macérât huileux de millepertuis </w:t>
      </w:r>
      <w:r>
        <w:rPr>
          <w:color w:val="000000"/>
        </w:rPr>
        <w:t>(</w:t>
      </w:r>
      <w:proofErr w:type="spellStart"/>
      <w:r>
        <w:t>hypéricine</w:t>
      </w:r>
      <w:proofErr w:type="spellEnd"/>
      <w:r>
        <w:rPr>
          <w:color w:val="000000"/>
        </w:rPr>
        <w:t xml:space="preserve">) </w:t>
      </w:r>
      <w:r w:rsidR="000022DE">
        <w:rPr>
          <w:color w:val="000000"/>
        </w:rPr>
        <w:t>peuvent être présents dans la préparation.</w:t>
      </w:r>
    </w:p>
    <w:p w14:paraId="558CFCB6" w14:textId="77777777" w:rsidR="00040871" w:rsidRDefault="00040871" w:rsidP="000022DE">
      <w:pPr>
        <w:spacing w:after="0"/>
        <w:jc w:val="both"/>
        <w:rPr>
          <w:color w:val="000000"/>
        </w:rPr>
      </w:pPr>
    </w:p>
    <w:p w14:paraId="1CC7B3E7" w14:textId="77777777" w:rsidR="00040871" w:rsidRPr="00983D66" w:rsidRDefault="00040871" w:rsidP="00040871">
      <w:pPr>
        <w:spacing w:line="240" w:lineRule="auto"/>
        <w:jc w:val="both"/>
        <w:rPr>
          <w:rFonts w:ascii="Times New Roman" w:eastAsia="Times New Roman" w:hAnsi="Times New Roman" w:cs="Times New Roman"/>
          <w:b/>
          <w:sz w:val="24"/>
          <w:szCs w:val="24"/>
        </w:rPr>
      </w:pPr>
      <w:r w:rsidRPr="00983D66">
        <w:rPr>
          <w:rFonts w:eastAsia="Times New Roman"/>
          <w:b/>
          <w:color w:val="000000"/>
        </w:rPr>
        <w:t>Commentaires de forme spécifique</w:t>
      </w:r>
      <w:r w:rsidR="00D76524">
        <w:rPr>
          <w:rFonts w:eastAsia="Times New Roman"/>
          <w:b/>
          <w:color w:val="000000"/>
        </w:rPr>
        <w:t>s</w:t>
      </w:r>
      <w:r w:rsidRPr="00983D66">
        <w:rPr>
          <w:rFonts w:eastAsia="Times New Roman"/>
          <w:b/>
          <w:color w:val="000000"/>
        </w:rPr>
        <w:t xml:space="preserve"> à la Monographie 1283 :</w:t>
      </w:r>
    </w:p>
    <w:p w14:paraId="344D59F8" w14:textId="77777777" w:rsidR="00040871" w:rsidRDefault="00040871" w:rsidP="00983D66">
      <w:pPr>
        <w:pStyle w:val="Paragraphedeliste"/>
        <w:numPr>
          <w:ilvl w:val="0"/>
          <w:numId w:val="12"/>
        </w:numPr>
        <w:spacing w:after="0"/>
        <w:jc w:val="both"/>
      </w:pPr>
      <w:r>
        <w:t>Annexe 4 :</w:t>
      </w:r>
    </w:p>
    <w:p w14:paraId="168149A6" w14:textId="77777777" w:rsidR="00040871" w:rsidRPr="0049143F" w:rsidRDefault="00040871" w:rsidP="00040871">
      <w:pPr>
        <w:spacing w:after="0"/>
        <w:jc w:val="both"/>
        <w:rPr>
          <w:highlight w:val="yellow"/>
        </w:rPr>
      </w:pPr>
      <w:r>
        <w:t xml:space="preserve">Photosensibilisation : une durée indicative plus précise pourrait être proposée afin d’harmoniser les conseils donnés aux patients. Ayant proposé un élargissement du nombre d’huiles essentielles utilisables dans cette préparation officinale (modification de l’annexe I), nous proposons que la mention de la bergamote soit ôtée, afin de ne pas exclure les autres huiles essentielles </w:t>
      </w:r>
      <w:proofErr w:type="spellStart"/>
      <w:r>
        <w:t>photo-sensibilisantes</w:t>
      </w:r>
      <w:proofErr w:type="spellEnd"/>
      <w:r>
        <w:t>.</w:t>
      </w:r>
    </w:p>
    <w:p w14:paraId="78F334E0" w14:textId="77777777" w:rsidR="00040871" w:rsidRPr="0049143F" w:rsidRDefault="00040871" w:rsidP="000022DE">
      <w:pPr>
        <w:spacing w:after="0"/>
        <w:jc w:val="both"/>
        <w:rPr>
          <w:highlight w:val="yellow"/>
        </w:rPr>
      </w:pPr>
    </w:p>
    <w:p w14:paraId="254071D5" w14:textId="77777777" w:rsidR="000022DE" w:rsidRDefault="000022DE">
      <w:pPr>
        <w:pBdr>
          <w:top w:val="nil"/>
          <w:left w:val="nil"/>
          <w:bottom w:val="nil"/>
          <w:right w:val="nil"/>
          <w:between w:val="nil"/>
        </w:pBdr>
        <w:jc w:val="both"/>
        <w:rPr>
          <w:color w:val="000000"/>
        </w:rPr>
      </w:pPr>
    </w:p>
    <w:p w14:paraId="345BC6FB" w14:textId="77777777" w:rsidR="00093347" w:rsidRDefault="00093347">
      <w:pPr>
        <w:jc w:val="both"/>
        <w:rPr>
          <w:b/>
          <w:sz w:val="24"/>
          <w:szCs w:val="24"/>
        </w:rPr>
      </w:pPr>
    </w:p>
    <w:sectPr w:rsidR="00093347">
      <w:foot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619D" w14:textId="77777777" w:rsidR="003B5CCD" w:rsidRDefault="000022DE">
      <w:pPr>
        <w:spacing w:after="0" w:line="240" w:lineRule="auto"/>
      </w:pPr>
      <w:r>
        <w:separator/>
      </w:r>
    </w:p>
  </w:endnote>
  <w:endnote w:type="continuationSeparator" w:id="0">
    <w:p w14:paraId="59A9D499" w14:textId="77777777" w:rsidR="003B5CCD" w:rsidRDefault="0000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6F18" w14:textId="77777777" w:rsidR="00093347" w:rsidRDefault="000022D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D160C">
      <w:rPr>
        <w:noProof/>
        <w:color w:val="000000"/>
      </w:rPr>
      <w:t>11</w:t>
    </w:r>
    <w:r>
      <w:rPr>
        <w:color w:val="000000"/>
      </w:rPr>
      <w:fldChar w:fldCharType="end"/>
    </w:r>
  </w:p>
  <w:p w14:paraId="1E6DC676" w14:textId="77777777" w:rsidR="00093347" w:rsidRDefault="0009334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1848" w14:textId="77777777" w:rsidR="003B5CCD" w:rsidRDefault="000022DE">
      <w:pPr>
        <w:spacing w:after="0" w:line="240" w:lineRule="auto"/>
      </w:pPr>
      <w:r>
        <w:separator/>
      </w:r>
    </w:p>
  </w:footnote>
  <w:footnote w:type="continuationSeparator" w:id="0">
    <w:p w14:paraId="72E37EE1" w14:textId="77777777" w:rsidR="003B5CCD" w:rsidRDefault="00002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6BB"/>
    <w:multiLevelType w:val="multilevel"/>
    <w:tmpl w:val="92F2E8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5762F"/>
    <w:multiLevelType w:val="multilevel"/>
    <w:tmpl w:val="514A04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7D74B0"/>
    <w:multiLevelType w:val="multilevel"/>
    <w:tmpl w:val="C5606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E96B65"/>
    <w:multiLevelType w:val="multilevel"/>
    <w:tmpl w:val="82C2B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1B7A8F"/>
    <w:multiLevelType w:val="multilevel"/>
    <w:tmpl w:val="2B5E1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025109"/>
    <w:multiLevelType w:val="hybridMultilevel"/>
    <w:tmpl w:val="FBE64F32"/>
    <w:lvl w:ilvl="0" w:tplc="BFC8DCA4">
      <w:start w:val="9"/>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3D5E35"/>
    <w:multiLevelType w:val="hybridMultilevel"/>
    <w:tmpl w:val="179072B2"/>
    <w:lvl w:ilvl="0" w:tplc="2E6C55CE">
      <w:numFmt w:val="bullet"/>
      <w:lvlText w:val="-"/>
      <w:lvlJc w:val="left"/>
      <w:pPr>
        <w:ind w:left="720" w:hanging="360"/>
      </w:pPr>
      <w:rPr>
        <w:rFonts w:ascii="Calibri" w:eastAsia="Times New Roman" w:hAnsi="Calibri" w:cs="Calibri" w:hint="default"/>
        <w:i/>
        <w:color w:val="0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362B8D"/>
    <w:multiLevelType w:val="multilevel"/>
    <w:tmpl w:val="0B32F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07759C"/>
    <w:multiLevelType w:val="multilevel"/>
    <w:tmpl w:val="57ACD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536068"/>
    <w:multiLevelType w:val="multilevel"/>
    <w:tmpl w:val="850227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540CAB"/>
    <w:multiLevelType w:val="hybridMultilevel"/>
    <w:tmpl w:val="1414AD74"/>
    <w:lvl w:ilvl="0" w:tplc="285E0B12">
      <w:start w:val="2"/>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1" w15:restartNumberingAfterBreak="0">
    <w:nsid w:val="70D31CA0"/>
    <w:multiLevelType w:val="multilevel"/>
    <w:tmpl w:val="DD546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DE38FF"/>
    <w:multiLevelType w:val="multilevel"/>
    <w:tmpl w:val="92D0A3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2"/>
  </w:num>
  <w:num w:numId="2">
    <w:abstractNumId w:val="1"/>
  </w:num>
  <w:num w:numId="3">
    <w:abstractNumId w:val="7"/>
  </w:num>
  <w:num w:numId="4">
    <w:abstractNumId w:val="9"/>
  </w:num>
  <w:num w:numId="5">
    <w:abstractNumId w:val="3"/>
  </w:num>
  <w:num w:numId="6">
    <w:abstractNumId w:val="8"/>
  </w:num>
  <w:num w:numId="7">
    <w:abstractNumId w:val="2"/>
  </w:num>
  <w:num w:numId="8">
    <w:abstractNumId w:val="4"/>
  </w:num>
  <w:num w:numId="9">
    <w:abstractNumId w:val="11"/>
    <w:lvlOverride w:ilvl="0">
      <w:lvl w:ilvl="0">
        <w:start w:val="1"/>
        <w:numFmt w:val="upp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abstractNumId w:val="6"/>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347"/>
    <w:rsid w:val="000022DE"/>
    <w:rsid w:val="00040871"/>
    <w:rsid w:val="00093347"/>
    <w:rsid w:val="000D0400"/>
    <w:rsid w:val="00297C93"/>
    <w:rsid w:val="002D160C"/>
    <w:rsid w:val="003B5CCD"/>
    <w:rsid w:val="00404BD2"/>
    <w:rsid w:val="0049143F"/>
    <w:rsid w:val="00575CCA"/>
    <w:rsid w:val="005A7BF4"/>
    <w:rsid w:val="005F3989"/>
    <w:rsid w:val="006B7742"/>
    <w:rsid w:val="006D7D79"/>
    <w:rsid w:val="006F0353"/>
    <w:rsid w:val="00703EC5"/>
    <w:rsid w:val="007411A6"/>
    <w:rsid w:val="00902760"/>
    <w:rsid w:val="00944243"/>
    <w:rsid w:val="00954A56"/>
    <w:rsid w:val="00983D66"/>
    <w:rsid w:val="009E2E5F"/>
    <w:rsid w:val="00C4422F"/>
    <w:rsid w:val="00D47E97"/>
    <w:rsid w:val="00D76524"/>
    <w:rsid w:val="00D878F4"/>
    <w:rsid w:val="00DF4292"/>
    <w:rsid w:val="00E736B4"/>
    <w:rsid w:val="00F0291B"/>
    <w:rsid w:val="00F15B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19BE"/>
  <w15:docId w15:val="{B5CD3D62-E893-4C35-B113-63A10B85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CC9"/>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phedeliste">
    <w:name w:val="List Paragraph"/>
    <w:basedOn w:val="Normal"/>
    <w:uiPriority w:val="34"/>
    <w:qFormat/>
    <w:rsid w:val="008B6628"/>
    <w:pPr>
      <w:ind w:left="720"/>
      <w:contextualSpacing/>
    </w:pPr>
  </w:style>
  <w:style w:type="paragraph" w:styleId="Textedebulles">
    <w:name w:val="Balloon Text"/>
    <w:basedOn w:val="Normal"/>
    <w:link w:val="TextedebullesCar"/>
    <w:uiPriority w:val="99"/>
    <w:semiHidden/>
    <w:unhideWhenUsed/>
    <w:rsid w:val="006C5F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5FF7"/>
    <w:rPr>
      <w:rFonts w:ascii="Segoe UI" w:hAnsi="Segoe UI" w:cs="Segoe UI"/>
      <w:sz w:val="18"/>
      <w:szCs w:val="18"/>
    </w:rPr>
  </w:style>
  <w:style w:type="character" w:styleId="Lienhypertexte">
    <w:name w:val="Hyperlink"/>
    <w:basedOn w:val="Policepardfaut"/>
    <w:uiPriority w:val="99"/>
    <w:unhideWhenUsed/>
    <w:rsid w:val="00ED08E9"/>
    <w:rPr>
      <w:color w:val="0563C1" w:themeColor="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8F45D5"/>
    <w:pPr>
      <w:tabs>
        <w:tab w:val="center" w:pos="4536"/>
        <w:tab w:val="right" w:pos="9072"/>
      </w:tabs>
      <w:spacing w:after="0" w:line="240" w:lineRule="auto"/>
    </w:pPr>
  </w:style>
  <w:style w:type="character" w:customStyle="1" w:styleId="En-tteCar">
    <w:name w:val="En-tête Car"/>
    <w:basedOn w:val="Policepardfaut"/>
    <w:link w:val="En-tte"/>
    <w:uiPriority w:val="99"/>
    <w:rsid w:val="008F45D5"/>
  </w:style>
  <w:style w:type="paragraph" w:styleId="Pieddepage">
    <w:name w:val="footer"/>
    <w:basedOn w:val="Normal"/>
    <w:link w:val="PieddepageCar"/>
    <w:uiPriority w:val="99"/>
    <w:unhideWhenUsed/>
    <w:rsid w:val="008F45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5D5"/>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D47E97"/>
    <w:rPr>
      <w:b/>
      <w:bCs/>
    </w:rPr>
  </w:style>
  <w:style w:type="character" w:customStyle="1" w:styleId="ObjetducommentaireCar">
    <w:name w:val="Objet du commentaire Car"/>
    <w:basedOn w:val="CommentaireCar"/>
    <w:link w:val="Objetducommentaire"/>
    <w:uiPriority w:val="99"/>
    <w:semiHidden/>
    <w:rsid w:val="00D47E97"/>
    <w:rPr>
      <w:b/>
      <w:bCs/>
      <w:sz w:val="20"/>
      <w:szCs w:val="20"/>
    </w:rPr>
  </w:style>
  <w:style w:type="paragraph" w:styleId="NormalWeb">
    <w:name w:val="Normal (Web)"/>
    <w:basedOn w:val="Normal"/>
    <w:uiPriority w:val="99"/>
    <w:semiHidden/>
    <w:unhideWhenUsed/>
    <w:rsid w:val="004914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1205">
      <w:bodyDiv w:val="1"/>
      <w:marLeft w:val="0"/>
      <w:marRight w:val="0"/>
      <w:marTop w:val="0"/>
      <w:marBottom w:val="0"/>
      <w:divBdr>
        <w:top w:val="none" w:sz="0" w:space="0" w:color="auto"/>
        <w:left w:val="none" w:sz="0" w:space="0" w:color="auto"/>
        <w:bottom w:val="none" w:sz="0" w:space="0" w:color="auto"/>
        <w:right w:val="none" w:sz="0" w:space="0" w:color="auto"/>
      </w:divBdr>
    </w:div>
    <w:div w:id="1625620838">
      <w:bodyDiv w:val="1"/>
      <w:marLeft w:val="0"/>
      <w:marRight w:val="0"/>
      <w:marTop w:val="0"/>
      <w:marBottom w:val="0"/>
      <w:divBdr>
        <w:top w:val="none" w:sz="0" w:space="0" w:color="auto"/>
        <w:left w:val="none" w:sz="0" w:space="0" w:color="auto"/>
        <w:bottom w:val="none" w:sz="0" w:space="0" w:color="auto"/>
        <w:right w:val="none" w:sz="0" w:space="0" w:color="auto"/>
      </w:divBdr>
    </w:div>
    <w:div w:id="1636790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gWEKusfUsEW/86z+h67Q1iGRMg==">AMUW2mWiS6HNsb5M5Vu1sP/T1CVl+5ObbUGQ2s8YuICQ5TTEzP2vLDTVN2JKeaN0yxoWg/qrW6Tea6ioxr7kwq9xIgSrluy5xYAidUd8uEQs5MY1IGJtGrlZR8S2oO4ABCM+05wXTHsfBjOfH5n8CORG+NQw2MBWHh68Fhi5Q0/l3JmOpPwzrjI4NkT/sUFO9AGpgAF/F7aqJEYG5otiBETBKEtILeQNkZgQWytQZ/eKl1Jp3EzaShSh0DWGQVp4t8EBNR7YRKt1DupsEtTY4qdFHXFgFP8zgOTRlFFJ/7Vg/8OQNj7Wxf39Iqhb8dVXHi/sGWUX/X5lxShXhCN3sUll3Afmy3I3Hs3r/GjUGXFRarxgj3ksakh5kzMiPsvZ9YBeuYHuL4EdNXiKmXKoAQSfcnXolIvs76rYhgmHE8az26vFRZSb/MDVjqAUpyxRUXRb0AztygYn9bZ9dY04bRZZIxBQC/y/6UWWBfBIi6i3tSeFBRkEqf51EFx6HlPoWx0Zev5eHII+UdMRii80ea0bJ5jM0NTtBf5NczAglklVklca729fmDQwzx6ze97OWvcKOvlKRMWuCMJctr3Qn6JxR/fAY6p6TneMkOWpBhFkVMUXXBpqZgLsViprweiBH11u3glqCSbnawnZYTMHertsJXLaakwAcKKhZwpLrlqFOhkFs/dudMUEt34Vh85yRXn6GPXdVYRiijq/q+8vShpUOkipazFd81UJkRxiFJIa7JlFJ9vaVAEbdWT9y8+EGb+4BCatAed8tF5cWDS+eEK0cwUX6qOnMO4AjzA/LDIyEcTSBDtKmCtSEueyPyVCzXVZJUR5RzxzuvbsEFvpg5JEM76IqQUrPV31D0WkNn8Wlax7ModX4cimnwqnBnYL5TxU5mjceRU09CZko0bN1CzaqdfEfMzAuDsJmxslj78i6Y6PPiE34oHq4fV9JI7UgkQdo8VP+MCHwoKFPo9WR20YKVnAV6ki2icD/Wq+7HcTXIm4KR9OzQNZEle7cawt8+0zCPaPWFxuAQCu55EOh5B61bPFC6j3EG8wo1KkUh/a9Fy9KbciF005RVfiSg2Ot6zp6vOMhzxUVClNppZ2pAPaR4WAehfzt1cuV/h4jR1rqO1D2rFs4lOIF4Eg07md4Xrb6gZu6VO1yzqRUqP7esbiJX4h7Q15cjrs1XRGG9alzswitxABFAfgvTDZZbk/I61tsyaPy+yI8ALn2Yrynku5pjtLP51UQVEqHTU6EAfjOR59vvVopSvs4+N4ZgMJqKiUDZ0uF637cIAd6nkaZzV048K49Yj2oXwVwi0opYnDcb7J7PfTHARFpVHs/Jan/4mJNTCL5hZIogreKyM6k7Wfj8EuzLkpRTC042HWd2f7XzL4uFSSXobioLAp+rxZGc2DpCBFjcXx4hI13j8N0jN/y6viOcV0Fp5MtkY683PzCx4euB0DL25o0zglBsY9jTJYw4ZQxqv+VYJbKuDC9Heyd1zs4fxEFCkVeNQIxT6zZWGQfMvNtK9D0vkP6jODlhbARfzSVLl5Sdqa//ISdv1uRHdSr0MvgDDeiUt7pJOwgmzClCz3DyO2HQDGQRP1fDKb6tAUCM6q4VIlEh0jpzbiM3imXZCSbMulL3kV1tx2Hf5lXLQ2ojZpBFcnpzw8a7JKZGtrstvzeqtnyuVDNUWdWGNOxz/C9PD0pbi4aOt1EyxEMq6ZleVfPoWFWwEyHY/GvgshpYhZS3EmozW9sZeKs3GQMuxMpSp4KwGz8fddjmTMZHxhukCj9C2Xtm4WSj/TcWznhOtM6wdHBlw4FMiA6EstktLKte/rRHfxTaS7vWZpQsChIXk6Ljco/rx19PQ/OzOBnYd9eyiEWtJenCrKg0JnipIByZ6lID455l3CrPZlxtj3hc2neb99EsRETEDRvPPJ/qjCG7ULUpytaLcxK1VwiTN4o4spGWzXVwxKMmYUkETqKcKR/VEIaDkR3/dvn9oWYCloZTqWpstdG4mhusOaW1CFGPpsN93pbW1DaXfAJObPZnYMyKvq7kdoj/2vfRkREuY/il4Tvm7q7q6fmqMF1S1DqvfuIUs/pe4QxEZGOVGUu3TZ3/JptQwaG76AWLzpmfDIseo64Ztv1ETB/GQ7RfhVfuAR5+hwSVnRWLvrMtjzEMUO80c44WMZ4n3UTf3talY+KVgxwEh+d9bzNMzEmc/f/6m99e8+SHrklS0J+QrFYNjx2VnTCGHTB/eC4SQCTiJqJufXHqJkD1QatnrNAf4/2aDIRbqU37E2KNdfbe0Sggklze9aAh0B8lcoaJg9K9/Y5x/JxezB7FrbX4vosmx63jcG97JTcCKhvQo5RMPdfwiuinZXHoUK4vifB13CyA1e8yU4f6UfH33x3PM7KokzvTYea/jby+wY7bsv6C+gpaZRA5mIbWPcTbnFX9yL3o/uuLNEBnNHtzu+e+AowkMuz8Rr1grXCuvVF+HVbBctjeslU7QpdxdPMx5/JCSNW3g9xfBvYzRQQ+xvYZRmyLtaEgbQVLkmErNjv6dWOE4yQwgEVGDDKbIYGOjfcXeYJvqKsfxUSEfvxz2oD2ktOEN5c6tftZCAR4IOgOSEKCVrYBrGOsveEevUZ92w8ChvhR7VjIzIKnuPHwxIr4LEKw0x2AziyyukU/7FNUCpkCGMuFQhYB96vtFvc0SzIs47I0FQpbr90oazgrfmnq20QqDU5PncEABkXcXyngOKdjrtknBeD9adAyL9OWGBOqy1xXptJ6Fwugcg0uTYB7QOOh8IfRDRAu9tp4fIwKUhFQ7beL9P5DZ5h6cdy5RLl/xcrP6uhpc8kAu4E5USgwvLrGlzD8AeEbkm0E5kkohzn+R5QCurYf+Z2jm3B3Y1r5am9wt2DvZexKAQxTtdnLio1mNIp+DDpHHCX2idDGNjZspeaOvxtgEZmryyyOYyW4koTFTiz0LL/G2emTpA/E9Cd2xk9Uuz2Tb51Tfy3tWCMBIsJZbrytbpJkZH0rXj0CbaGAqMhCGNzApvE4b0We3J/e+VOrFDANEv2hx0NVvaFgSyv4Xxt1+cyRGcZAX9s/VuiYYIZlv1wd8nmlE2vJ3U1JXxN64XdfbVSRW4dgWUg7prguwN7Swh0zgOBLN56zWvUboxlPReay3GQ8Nt1pF7717b4X4fGxP7O65rJztWPOy98MHzQ2/vkDe9ddBtiIlx6/9oa3uE8Hbwy57Yqze6TDc6nn2ebcd0p2gogpnSB4l0ymc2sObbb7LiBF7sPAQttFi1yRGdJZgaF1bcCwq+wvkLasFDieTdhTUxu7A8RKgTEvowg7k/GSSTSML8tQTijLnsKcjZTXCgEmmt2lmmNHU23JD6OKgEYra718NzbrnpreEOtELYCNAlCKcu7ukEzPv8vP89fEperB0/aVhY6Zux+ZaefrkZ347RUGrLj2m51RvDYUvE5ceivNRhx2o+CgiEMdqrnWt06rlfVFGxhYN+MUXCqZh9JcZGS4x3ffoqNI+ytJ7Y7OEPPJ2Kj9y/IqYM+XjzzYKVRdUzSUNCqtZxlc2TDf57Gx5Xx5YmaOmOvsuFtWsi/3PwTwrt6dhW670LLIcqgUSudoTl+9oXmS1QZO+qxR8yz7mk0k0m0BLdoNCIro2wzP2fWzYE2ttt3JWi4w0YnElC7SRoWgydMUpd9Ks8cmeo2yXUFH/CGgvqUX+faTvuRmlBr13M/ksLTeroq846YjOC47+FPlwsMOyQzLfwZbcqNYf7mckxPx1gqcf91h40Xs74xrfm3xgiupZsmBpavW70jX/9+9Duy27egw==</go:docsCustomData>
</go:gDocsCustomXmlDataStorage>
</file>

<file path=customXml/itemProps1.xml><?xml version="1.0" encoding="utf-8"?>
<ds:datastoreItem xmlns:ds="http://schemas.openxmlformats.org/officeDocument/2006/customXml" ds:itemID="{F8B38475-9898-4272-9488-51B6F421E50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3119</Words>
  <Characters>17156</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Dumas</dc:creator>
  <cp:lastModifiedBy>Céline Dumas</cp:lastModifiedBy>
  <cp:revision>4</cp:revision>
  <cp:lastPrinted>2022-04-04T08:45:00Z</cp:lastPrinted>
  <dcterms:created xsi:type="dcterms:W3CDTF">2022-04-04T09:52:00Z</dcterms:created>
  <dcterms:modified xsi:type="dcterms:W3CDTF">2022-04-04T09:53:00Z</dcterms:modified>
</cp:coreProperties>
</file>